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02772">
        <w:trPr>
          <w:trHeight w:val="2835"/>
        </w:trPr>
        <w:tc>
          <w:tcPr>
            <w:tcW w:w="2484" w:type="dxa"/>
          </w:tcPr>
          <w:p w:rsidR="00F37F63" w:rsidRDefault="00B44496" w:rsidP="00F37F63">
            <w:pPr>
              <w:pStyle w:val="Hjrespaltetekst"/>
              <w:rPr>
                <w:rFonts w:ascii="Garamond" w:hAnsi="Garamond"/>
                <w:noProof w:val="0"/>
                <w:color w:val="auto"/>
                <w:spacing w:val="0"/>
                <w:sz w:val="22"/>
              </w:rPr>
            </w:pPr>
            <w:sdt>
              <w:sdtPr>
                <w:alias w:val="Vælg dato"/>
                <w:tag w:val="Vælg dato"/>
                <w:id w:val="-696322164"/>
                <w:placeholder>
                  <w:docPart w:val="1102700AAA9243BFBFA7499DA621CF99"/>
                </w:placeholder>
                <w:date w:fullDate="2014-12-17T00:00:00Z">
                  <w:dateFormat w:val="d. MMMM yyyy"/>
                  <w:lid w:val="da-DK"/>
                  <w:storeMappedDataAs w:val="dateTime"/>
                  <w:calendar w:val="gregorian"/>
                </w:date>
              </w:sdtPr>
              <w:sdtEndPr/>
              <w:sdtContent>
                <w:r>
                  <w:t>17. december 2014</w:t>
                </w:r>
              </w:sdtContent>
            </w:sdt>
          </w:p>
          <w:p w:rsidR="00F37F63" w:rsidRDefault="00F37F63" w:rsidP="00F37F63">
            <w:pPr>
              <w:pStyle w:val="Template-Dato"/>
            </w:pPr>
            <w:r>
              <w:t xml:space="preserve">J.nr. </w:t>
            </w:r>
            <w:bookmarkStart w:id="0" w:name="sagsnr"/>
            <w:r w:rsidR="002A5634">
              <w:t>14-0660343</w:t>
            </w:r>
            <w:bookmarkEnd w:id="0"/>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bookmarkStart w:id="1" w:name="_GoBack"/>
            <w:bookmarkEnd w:id="1"/>
          </w:p>
        </w:tc>
      </w:tr>
    </w:tbl>
    <w:p w:rsidR="00F37F63" w:rsidRDefault="00F37F63" w:rsidP="00F37F63"/>
    <w:p w:rsidR="00FB1FE9" w:rsidRDefault="00600E3E" w:rsidP="00FB1FE9">
      <w:r w:rsidRPr="00684545">
        <w:t xml:space="preserve">Til udvalgets orientering </w:t>
      </w:r>
      <w:r>
        <w:t>vedlægges høringsskema samt de modtagne høringssvar vedr</w:t>
      </w:r>
      <w:r>
        <w:t>ø</w:t>
      </w:r>
      <w:r>
        <w:t>rende forslag til</w:t>
      </w:r>
      <w:r w:rsidRPr="00684545">
        <w:t xml:space="preserve"> </w:t>
      </w:r>
      <w:r w:rsidR="002A5634">
        <w:t>lov om ændring af kildeskatteloven, kursgevinstloven, selskabsskattel</w:t>
      </w:r>
      <w:r w:rsidR="002A5634">
        <w:t>o</w:t>
      </w:r>
      <w:r w:rsidR="002A5634">
        <w:t>ven, virksomhedsskatteloven og forskellige andre love</w:t>
      </w:r>
      <w:r w:rsidR="0041096B">
        <w:t xml:space="preserve"> (Exitskat og henstand for fysiske personer, gennemførelse af ændring af moder-/datterselskabsdirektivet, justering af rent</w:t>
      </w:r>
      <w:r w:rsidR="0041096B">
        <w:t>e</w:t>
      </w:r>
      <w:r w:rsidR="0041096B">
        <w:t>fradragsbegrænsningsreglerne og opgørelsesprincipper for fordringer og gæld m.v.)</w:t>
      </w:r>
      <w:r w:rsidR="00006F66">
        <w:t>.</w:t>
      </w:r>
    </w:p>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967833">
      <w:pPr>
        <w:keepNext/>
        <w:keepLines/>
        <w:jc w:val="right"/>
      </w:pPr>
      <w:r>
        <w:t xml:space="preserve">/ </w:t>
      </w:r>
      <w:r w:rsidR="00670A87">
        <w:t>Lise Bo Nielsen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3"/>
        <w:gridCol w:w="182"/>
        <w:gridCol w:w="3509"/>
        <w:gridCol w:w="196"/>
        <w:gridCol w:w="3509"/>
      </w:tblGrid>
      <w:tr w:rsidR="004C4D5F" w:rsidTr="00A30808">
        <w:trPr>
          <w:tblHeader/>
        </w:trPr>
        <w:tc>
          <w:tcPr>
            <w:tcW w:w="2310" w:type="dxa"/>
            <w:shd w:val="clear" w:color="auto" w:fill="D1C5C3"/>
            <w:vAlign w:val="center"/>
          </w:tcPr>
          <w:p w:rsidR="00600E3E" w:rsidRDefault="00600E3E" w:rsidP="00B9508F">
            <w:pPr>
              <w:pStyle w:val="Tabel-KolonneOverskrift"/>
            </w:pPr>
            <w:r>
              <w:lastRenderedPageBreak/>
              <w:t>Organisation</w:t>
            </w:r>
          </w:p>
        </w:tc>
        <w:tc>
          <w:tcPr>
            <w:tcW w:w="213" w:type="dxa"/>
            <w:shd w:val="clear" w:color="auto" w:fill="FFFFFF" w:themeFill="background1"/>
            <w:vAlign w:val="center"/>
          </w:tcPr>
          <w:p w:rsidR="00600E3E" w:rsidRDefault="00600E3E" w:rsidP="00B9508F">
            <w:pPr>
              <w:keepNext/>
              <w:keepLines/>
            </w:pPr>
          </w:p>
        </w:tc>
        <w:tc>
          <w:tcPr>
            <w:tcW w:w="3443" w:type="dxa"/>
            <w:shd w:val="clear" w:color="auto" w:fill="D1C5C3" w:themeFill="accent3"/>
            <w:vAlign w:val="center"/>
          </w:tcPr>
          <w:p w:rsidR="00600E3E" w:rsidRDefault="00600E3E" w:rsidP="00B9508F">
            <w:pPr>
              <w:pStyle w:val="Tabel-KolonneOverskrift"/>
            </w:pPr>
            <w:r>
              <w:t>Bemærkninger</w:t>
            </w:r>
          </w:p>
        </w:tc>
        <w:tc>
          <w:tcPr>
            <w:tcW w:w="230" w:type="dxa"/>
            <w:shd w:val="clear" w:color="auto" w:fill="FFFFFF" w:themeFill="background1"/>
            <w:vAlign w:val="center"/>
          </w:tcPr>
          <w:p w:rsidR="00600E3E" w:rsidRDefault="00600E3E" w:rsidP="00B9508F">
            <w:pPr>
              <w:keepNext/>
              <w:keepLines/>
            </w:pPr>
          </w:p>
        </w:tc>
        <w:tc>
          <w:tcPr>
            <w:tcW w:w="3443" w:type="dxa"/>
            <w:shd w:val="clear" w:color="auto" w:fill="14143C" w:themeFill="accent1"/>
            <w:vAlign w:val="center"/>
          </w:tcPr>
          <w:p w:rsidR="00600E3E" w:rsidRDefault="00600E3E" w:rsidP="00B9508F">
            <w:pPr>
              <w:pStyle w:val="Tabel-KolonneOverskriftHvid"/>
            </w:pPr>
            <w:r>
              <w:t>Kommentarer</w:t>
            </w:r>
          </w:p>
        </w:tc>
      </w:tr>
      <w:tr w:rsidR="004C4D5F" w:rsidRPr="00B5346F" w:rsidTr="004D2BD7">
        <w:tc>
          <w:tcPr>
            <w:tcW w:w="2310" w:type="dxa"/>
            <w:tcBorders>
              <w:bottom w:val="single" w:sz="4" w:space="0" w:color="D1C5C3" w:themeColor="accent3"/>
            </w:tcBorders>
            <w:shd w:val="clear" w:color="auto" w:fill="FBF9F9"/>
          </w:tcPr>
          <w:p w:rsidR="00815F28" w:rsidRPr="00600E3E" w:rsidRDefault="00B027E1" w:rsidP="00B02772">
            <w:pPr>
              <w:pStyle w:val="Tabel-BrdtekstmedafstandptekstGaramond"/>
              <w:rPr>
                <w:i/>
              </w:rPr>
            </w:pPr>
            <w:r>
              <w:rPr>
                <w:i/>
              </w:rPr>
              <w:t>Advokatsamfundet</w:t>
            </w:r>
          </w:p>
        </w:tc>
        <w:tc>
          <w:tcPr>
            <w:tcW w:w="213" w:type="dxa"/>
            <w:shd w:val="clear" w:color="auto" w:fill="FFFFFF" w:themeFill="background1"/>
          </w:tcPr>
          <w:p w:rsidR="00815F28" w:rsidRPr="00B5346F" w:rsidRDefault="00815F28" w:rsidP="00B02772"/>
        </w:tc>
        <w:tc>
          <w:tcPr>
            <w:tcW w:w="3443" w:type="dxa"/>
            <w:tcBorders>
              <w:bottom w:val="single" w:sz="4" w:space="0" w:color="D1C5C3" w:themeColor="accent3"/>
            </w:tcBorders>
            <w:shd w:val="clear" w:color="auto" w:fill="FBF9F9"/>
          </w:tcPr>
          <w:p w:rsidR="00815F28" w:rsidRPr="00B5346F" w:rsidRDefault="00B027E1" w:rsidP="00B027E1">
            <w:pPr>
              <w:pStyle w:val="Tabel-BrdtekstmedafstandptekstGaramond"/>
            </w:pPr>
            <w:r>
              <w:t>Ingen bemærkninger</w:t>
            </w:r>
            <w:r w:rsidR="00682E5D">
              <w:t>.</w:t>
            </w:r>
          </w:p>
        </w:tc>
        <w:tc>
          <w:tcPr>
            <w:tcW w:w="230" w:type="dxa"/>
            <w:shd w:val="clear" w:color="auto" w:fill="FFFFFF" w:themeFill="background1"/>
          </w:tcPr>
          <w:p w:rsidR="00815F28" w:rsidRPr="00B5346F" w:rsidRDefault="00815F28" w:rsidP="00B02772"/>
        </w:tc>
        <w:tc>
          <w:tcPr>
            <w:tcW w:w="3443" w:type="dxa"/>
            <w:tcBorders>
              <w:bottom w:val="single" w:sz="4" w:space="0" w:color="14143C" w:themeColor="accent1"/>
            </w:tcBorders>
            <w:shd w:val="clear" w:color="auto" w:fill="D2CED8"/>
          </w:tcPr>
          <w:p w:rsidR="00815F28" w:rsidRPr="00B5346F" w:rsidRDefault="00815F28" w:rsidP="00B02772">
            <w:pPr>
              <w:pStyle w:val="Tabel-BrdtekstmedafstandptekstGaramond"/>
            </w:pP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B027E1" w:rsidP="00B02772">
            <w:pPr>
              <w:pStyle w:val="Tabel-BrdtekstmedafstandptekstGaramond"/>
              <w:rPr>
                <w:i/>
              </w:rPr>
            </w:pPr>
            <w:r>
              <w:rPr>
                <w:i/>
              </w:rPr>
              <w:t>Advokatfirmaet Energi og Miljø</w:t>
            </w:r>
          </w:p>
        </w:tc>
        <w:tc>
          <w:tcPr>
            <w:tcW w:w="213" w:type="dxa"/>
            <w:shd w:val="clear" w:color="auto" w:fill="FFFFFF" w:themeFill="background1"/>
          </w:tcPr>
          <w:p w:rsidR="00815F28" w:rsidRPr="00B5346F" w:rsidRDefault="00815F28" w:rsidP="00B02772"/>
        </w:tc>
        <w:tc>
          <w:tcPr>
            <w:tcW w:w="3443" w:type="dxa"/>
            <w:tcBorders>
              <w:top w:val="single" w:sz="4" w:space="0" w:color="D1C5C3" w:themeColor="accent3"/>
              <w:bottom w:val="single" w:sz="4" w:space="0" w:color="D1C5C3" w:themeColor="accent3"/>
            </w:tcBorders>
            <w:shd w:val="clear" w:color="auto" w:fill="FBF9F9"/>
          </w:tcPr>
          <w:p w:rsidR="00AA5A68" w:rsidRPr="00AA5A68" w:rsidRDefault="00AA5A68" w:rsidP="00B02772">
            <w:pPr>
              <w:pStyle w:val="Tabel-BrdtekstmedafstandptekstGaramond"/>
              <w:rPr>
                <w:u w:val="single"/>
              </w:rPr>
            </w:pPr>
            <w:r w:rsidRPr="00AA5A68">
              <w:rPr>
                <w:u w:val="single"/>
              </w:rPr>
              <w:t>Fjernvarmeværker og sideordnede aktiviteter</w:t>
            </w:r>
          </w:p>
          <w:p w:rsidR="00AA5A68" w:rsidRDefault="00AA5A68" w:rsidP="00B02772">
            <w:pPr>
              <w:pStyle w:val="Tabel-BrdtekstmedafstandptekstGaramond"/>
            </w:pPr>
            <w:r>
              <w:t>Advokatfirmaet ønsker en præcis</w:t>
            </w:r>
            <w:r>
              <w:t>e</w:t>
            </w:r>
            <w:r>
              <w:t>ring af lovbemærkninger</w:t>
            </w:r>
            <w:r w:rsidR="00682E5D">
              <w:t>ne</w:t>
            </w:r>
            <w:r>
              <w:t xml:space="preserve">, således at det fremgår, at den gældende skattefritagelsesbestemmelse tillige omfatter fjernvarmeværker, som alene har varmedistribution og/eller varmetransmission. </w:t>
            </w:r>
          </w:p>
          <w:p w:rsidR="00AA5A68" w:rsidRDefault="00AA5A68" w:rsidP="00B02772">
            <w:pPr>
              <w:pStyle w:val="Tabel-BrdtekstmedafstandptekstGaramond"/>
            </w:pPr>
          </w:p>
          <w:p w:rsidR="00AA5A68" w:rsidRDefault="00AA5A68" w:rsidP="00B02772">
            <w:pPr>
              <w:pStyle w:val="Tabel-BrdtekstmedafstandptekstGaramond"/>
            </w:pPr>
            <w:r>
              <w:t>Endvidere ønskes skattefritagelse</w:t>
            </w:r>
            <w:r>
              <w:t>s</w:t>
            </w:r>
            <w:r>
              <w:t>bestemmelse</w:t>
            </w:r>
            <w:r w:rsidR="003C379E">
              <w:t>n</w:t>
            </w:r>
            <w:r>
              <w:t xml:space="preserve"> udvidet til også at omfatte fjernvarmeværker, der producerer eller driver et anlæg til fremføring af opvarmet vand eller damp til brug for rumopvarmning. </w:t>
            </w:r>
          </w:p>
          <w:p w:rsidR="00AA5A68" w:rsidRDefault="00AA5A68" w:rsidP="00B02772">
            <w:pPr>
              <w:pStyle w:val="Tabel-BrdtekstmedafstandptekstGaramond"/>
            </w:pPr>
          </w:p>
          <w:p w:rsidR="00815F28" w:rsidRDefault="002D16DE" w:rsidP="00B02772">
            <w:pPr>
              <w:pStyle w:val="Tabel-BrdtekstmedafstandptekstGaramond"/>
            </w:pPr>
            <w:r>
              <w:t>Endelig anmodes om, at det bliver muligt for fjernvarmeværker at u</w:t>
            </w:r>
            <w:r>
              <w:t>d</w:t>
            </w:r>
            <w:r>
              <w:t>øve de sideordnede aktiviteter i samme selskab som kerneaktivit</w:t>
            </w:r>
            <w:r>
              <w:t>e</w:t>
            </w:r>
            <w:r>
              <w:t xml:space="preserve">ten blot med en regnskabsmæssig adskillelse.  </w:t>
            </w:r>
            <w:r w:rsidR="00AA5A68">
              <w:t xml:space="preserve">  </w:t>
            </w:r>
          </w:p>
          <w:p w:rsidR="00126D75" w:rsidRPr="00B5346F" w:rsidRDefault="00126D75" w:rsidP="00B02772">
            <w:pPr>
              <w:pStyle w:val="Tabel-BrdtekstmedafstandptekstGaramond"/>
            </w:pPr>
          </w:p>
        </w:tc>
        <w:tc>
          <w:tcPr>
            <w:tcW w:w="230" w:type="dxa"/>
            <w:shd w:val="clear" w:color="auto" w:fill="FFFFFF" w:themeFill="background1"/>
          </w:tcPr>
          <w:p w:rsidR="00815F28" w:rsidRPr="00B5346F" w:rsidRDefault="00815F28" w:rsidP="00B02772"/>
        </w:tc>
        <w:tc>
          <w:tcPr>
            <w:tcW w:w="3443" w:type="dxa"/>
            <w:tcBorders>
              <w:top w:val="single" w:sz="4" w:space="0" w:color="14143C" w:themeColor="accent1"/>
              <w:bottom w:val="single" w:sz="4" w:space="0" w:color="14143C" w:themeColor="accent1"/>
            </w:tcBorders>
            <w:shd w:val="clear" w:color="auto" w:fill="D2CED8"/>
          </w:tcPr>
          <w:p w:rsidR="00815F28" w:rsidRDefault="00815F28" w:rsidP="00B02772">
            <w:pPr>
              <w:pStyle w:val="Tabel-BrdtekstmedafstandptekstGaramond"/>
            </w:pPr>
          </w:p>
          <w:p w:rsidR="002D16DE" w:rsidRDefault="002D16DE" w:rsidP="00B02772">
            <w:pPr>
              <w:pStyle w:val="Tabel-BrdtekstmedafstandptekstGaramond"/>
            </w:pPr>
          </w:p>
          <w:p w:rsidR="002D16DE" w:rsidRDefault="003C379E" w:rsidP="004C4D5F">
            <w:pPr>
              <w:pStyle w:val="Tabel-BrdtekstmedafstandptekstGaramond"/>
            </w:pPr>
            <w:r>
              <w:t>Forslaget til ændring af bemær</w:t>
            </w:r>
            <w:r>
              <w:t>k</w:t>
            </w:r>
            <w:r>
              <w:t>ningerne udgør ikke en præcisering. Der er med den gældende lovb</w:t>
            </w:r>
            <w:r>
              <w:t>e</w:t>
            </w:r>
            <w:r>
              <w:t>stemmelse ikke hjemmel til også at inddrage disse fjernvarmeværker under skattefritagelsen. Derudover skal bemærkes, at d</w:t>
            </w:r>
            <w:r w:rsidR="004C4D5F">
              <w:t>et ligger uden for lovforslagets formål at indføre en udvidelse af den eksisterende s</w:t>
            </w:r>
            <w:r w:rsidR="002D16DE">
              <w:t xml:space="preserve">kattefritagelsesbestemmelse for </w:t>
            </w:r>
            <w:r w:rsidR="004C4D5F">
              <w:t>fjernvarmeværker til også at omfa</w:t>
            </w:r>
            <w:r w:rsidR="004C4D5F">
              <w:t>t</w:t>
            </w:r>
            <w:r w:rsidR="004C4D5F">
              <w:t>te værker, der har andre funktioner end den rene produktion og lev</w:t>
            </w:r>
            <w:r w:rsidR="004C4D5F">
              <w:t>e</w:t>
            </w:r>
            <w:r w:rsidR="004C4D5F">
              <w:t xml:space="preserve">ring </w:t>
            </w:r>
            <w:r w:rsidR="006028B2">
              <w:t>af fjernvarme.</w:t>
            </w:r>
          </w:p>
          <w:p w:rsidR="006028B2" w:rsidRDefault="006028B2" w:rsidP="004C4D5F">
            <w:pPr>
              <w:pStyle w:val="Tabel-BrdtekstmedafstandptekstGaramond"/>
            </w:pPr>
          </w:p>
          <w:p w:rsidR="006028B2" w:rsidRDefault="007D555D" w:rsidP="007D555D">
            <w:pPr>
              <w:pStyle w:val="Tabel-BrdtekstmedafstandptekstGaramond"/>
            </w:pPr>
            <w:r>
              <w:t>Inden for områder, hvor der både kan være offentlige og private akt</w:t>
            </w:r>
            <w:r>
              <w:t>ø</w:t>
            </w:r>
            <w:r>
              <w:t>rer, bør der være en skelen til, at det almindelige udgangspunkt for virksomheder, der udøver e</w:t>
            </w:r>
            <w:r>
              <w:t>r</w:t>
            </w:r>
            <w:r>
              <w:t>hvervsmæssig aktivitet, er en ska</w:t>
            </w:r>
            <w:r>
              <w:t>t</w:t>
            </w:r>
            <w:r>
              <w:t xml:space="preserve">tepligt. Derfor bør </w:t>
            </w:r>
            <w:r w:rsidR="006028B2">
              <w:t>bestemmelser om skattefrihed</w:t>
            </w:r>
            <w:r>
              <w:t xml:space="preserve"> indskrænkes til alene at omfatte den rene kernea</w:t>
            </w:r>
            <w:r>
              <w:t>k</w:t>
            </w:r>
            <w:r>
              <w:t xml:space="preserve">tivitet. </w:t>
            </w:r>
          </w:p>
          <w:p w:rsidR="007D555D" w:rsidRDefault="007D555D" w:rsidP="007D555D">
            <w:pPr>
              <w:pStyle w:val="Tabel-BrdtekstmedafstandptekstGaramond"/>
            </w:pPr>
          </w:p>
          <w:p w:rsidR="007D555D" w:rsidRPr="00B5346F" w:rsidRDefault="007D555D" w:rsidP="007D555D">
            <w:pPr>
              <w:pStyle w:val="Tabel-BrdtekstmedafstandptekstGaramond"/>
            </w:pPr>
            <w:r>
              <w:t>Det er opfattelsen, at en adskillelse af de skattefrie og de skattepligtige aktiviteter, der alene beror på reg</w:t>
            </w:r>
            <w:r>
              <w:t>n</w:t>
            </w:r>
            <w:r>
              <w:t>skaberne, ikke i tilstrækkeligt o</w:t>
            </w:r>
            <w:r>
              <w:t>m</w:t>
            </w:r>
            <w:r>
              <w:t>fang vil kunne sikre en adskillelse med baggrund i skattereglerne. Kravet om udskillelse i et datterse</w:t>
            </w:r>
            <w:r>
              <w:t>l</w:t>
            </w:r>
            <w:r>
              <w:t>skab svarer til det krav, der også stilles for andre aktører, som foru</w:t>
            </w:r>
            <w:r>
              <w:t>d</w:t>
            </w:r>
            <w:r>
              <w:t xml:space="preserve">sætning for at bevare skattefriheden for kerneaktiviteten. </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B027E1" w:rsidP="00B02772">
            <w:pPr>
              <w:pStyle w:val="Tabel-BrdtekstmedafstandptekstGaramond"/>
              <w:rPr>
                <w:i/>
              </w:rPr>
            </w:pPr>
            <w:proofErr w:type="spellStart"/>
            <w:r>
              <w:rPr>
                <w:i/>
              </w:rPr>
              <w:lastRenderedPageBreak/>
              <w:t>agroSkat</w:t>
            </w:r>
            <w:proofErr w:type="spellEnd"/>
          </w:p>
        </w:tc>
        <w:tc>
          <w:tcPr>
            <w:tcW w:w="213" w:type="dxa"/>
            <w:shd w:val="clear" w:color="auto" w:fill="FFFFFF" w:themeFill="background1"/>
          </w:tcPr>
          <w:p w:rsidR="00815F28" w:rsidRPr="00B5346F" w:rsidRDefault="00815F28" w:rsidP="00B02772"/>
        </w:tc>
        <w:tc>
          <w:tcPr>
            <w:tcW w:w="3443" w:type="dxa"/>
            <w:tcBorders>
              <w:top w:val="single" w:sz="4" w:space="0" w:color="D1C5C3" w:themeColor="accent3"/>
              <w:bottom w:val="single" w:sz="4" w:space="0" w:color="D1C5C3" w:themeColor="accent3"/>
            </w:tcBorders>
            <w:shd w:val="clear" w:color="auto" w:fill="FBF9F9"/>
          </w:tcPr>
          <w:p w:rsidR="00711AED" w:rsidRPr="009F3462" w:rsidRDefault="00711AED" w:rsidP="00711AED">
            <w:pPr>
              <w:pStyle w:val="Tabel-BrdtekstmedafstandptekstGaramond"/>
              <w:rPr>
                <w:u w:val="single"/>
              </w:rPr>
            </w:pPr>
            <w:r w:rsidRPr="009F3462">
              <w:rPr>
                <w:u w:val="single"/>
              </w:rPr>
              <w:t>Kritik af stramninger</w:t>
            </w:r>
          </w:p>
          <w:p w:rsidR="00711AED" w:rsidRDefault="00711AED" w:rsidP="00711AED">
            <w:pPr>
              <w:pStyle w:val="Tabel-BrdtekstmedafstandptekstGaramond"/>
            </w:pPr>
            <w:proofErr w:type="spellStart"/>
            <w:r>
              <w:t>agroSkat</w:t>
            </w:r>
            <w:proofErr w:type="spellEnd"/>
            <w:r>
              <w:t xml:space="preserve"> anfører, at lovforslaget r</w:t>
            </w:r>
            <w:r>
              <w:t>e</w:t>
            </w:r>
            <w:r>
              <w:t>elt afskaffer den eksisterende exi</w:t>
            </w:r>
            <w:r>
              <w:t>t</w:t>
            </w:r>
            <w:r>
              <w:t>skatteordning i ejendomsavanceb</w:t>
            </w:r>
            <w:r>
              <w:t>e</w:t>
            </w:r>
            <w:r>
              <w:t>skatningslovens § 6 B vedrørende genanbragte avancer i udenlandske ejendomme. Dette medfører en række stramninger, som ikke er nævnt i oversigten i de almindelige bemærkninger eller i resumeet ve</w:t>
            </w:r>
            <w:r>
              <w:t>d</w:t>
            </w:r>
            <w:r>
              <w:t xml:space="preserve">rørende lovforslaget. </w:t>
            </w:r>
          </w:p>
          <w:p w:rsidR="00711AED" w:rsidRDefault="00711AED" w:rsidP="00711AED">
            <w:pPr>
              <w:pStyle w:val="Tabel-BrdtekstmedafstandptekstGaramond"/>
            </w:pPr>
          </w:p>
          <w:p w:rsidR="00711AED" w:rsidRDefault="00711AED" w:rsidP="00711AED">
            <w:pPr>
              <w:pStyle w:val="Tabel-BrdtekstmedafstandptekstGaramond"/>
            </w:pPr>
            <w:r>
              <w:t>Den eksisterende ordning er sål</w:t>
            </w:r>
            <w:r>
              <w:t>e</w:t>
            </w:r>
            <w:r>
              <w:t>des på en række punkter mere le</w:t>
            </w:r>
            <w:r>
              <w:t>m</w:t>
            </w:r>
            <w:r>
              <w:t>pelig end den foreslåede. Dette gælder bl.a. muligheden for genb</w:t>
            </w:r>
            <w:r>
              <w:t>e</w:t>
            </w:r>
            <w:r>
              <w:t>regning af fraflytterskatten, hvis der senere realiseres et tab og bortfald af den beregnede exitskat, hvis skatteyderen flytter tilbage til Da</w:t>
            </w:r>
            <w:r>
              <w:t>n</w:t>
            </w:r>
            <w:r>
              <w:t>mark, inden ejendommen sælges. Muligheden for, at en længstleve</w:t>
            </w:r>
            <w:r>
              <w:t>n</w:t>
            </w:r>
            <w:r>
              <w:t>de ægtefælle kan indtræde i en he</w:t>
            </w:r>
            <w:r>
              <w:t>n</w:t>
            </w:r>
            <w:r>
              <w:t>standsordning, afskaffes også.</w:t>
            </w:r>
          </w:p>
          <w:p w:rsidR="00711AED" w:rsidRDefault="00711AED" w:rsidP="00711AED">
            <w:pPr>
              <w:pStyle w:val="Tabel-BrdtekstmedafstandptekstGaramond"/>
            </w:pPr>
          </w:p>
          <w:p w:rsidR="00711AED" w:rsidRPr="00711AED" w:rsidRDefault="00711AED" w:rsidP="00711AED">
            <w:pPr>
              <w:pStyle w:val="Tabel-BrdtekstmedafstandptekstGaramond"/>
            </w:pPr>
            <w:proofErr w:type="spellStart"/>
            <w:r>
              <w:t>agroSkat</w:t>
            </w:r>
            <w:proofErr w:type="spellEnd"/>
            <w:r>
              <w:t xml:space="preserve"> bemærker generelt, at der ikke i bemærkningerne er redegjort for de meget omfattende kons</w:t>
            </w:r>
            <w:r>
              <w:t>e</w:t>
            </w:r>
            <w:r>
              <w:t>kvenser, som dette medfører for de i udlandet genanbragte avancer, og at skatteydere med sådanne gena</w:t>
            </w:r>
            <w:r>
              <w:t>n</w:t>
            </w:r>
            <w:r>
              <w:t>bragte avancer generelt vil blive ”stavnsbundet” til at blive boende i Danmark.</w:t>
            </w: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Default="00711AED" w:rsidP="00711AED">
            <w:pPr>
              <w:pStyle w:val="Tabel-BrdtekstmedafstandptekstGaramond"/>
              <w:rPr>
                <w:u w:val="single"/>
              </w:rPr>
            </w:pPr>
          </w:p>
          <w:p w:rsidR="00AD3C0B" w:rsidRDefault="00AD3C0B" w:rsidP="00711AED">
            <w:pPr>
              <w:pStyle w:val="Tabel-BrdtekstmedafstandptekstGaramond"/>
              <w:rPr>
                <w:u w:val="single"/>
              </w:rPr>
            </w:pPr>
          </w:p>
          <w:p w:rsidR="00711AED" w:rsidRPr="00711AED" w:rsidRDefault="00711AED" w:rsidP="00711AED">
            <w:pPr>
              <w:pStyle w:val="Tabel-BrdtekstmedafstandptekstGaramond"/>
              <w:rPr>
                <w:u w:val="single"/>
              </w:rPr>
            </w:pPr>
            <w:r w:rsidRPr="00711AED">
              <w:rPr>
                <w:u w:val="single"/>
              </w:rPr>
              <w:t>Den frie etableringsret m.v.</w:t>
            </w:r>
          </w:p>
          <w:p w:rsidR="00711AED" w:rsidRDefault="00711AED" w:rsidP="00711AED">
            <w:pPr>
              <w:pStyle w:val="Tabel-BrdtekstmedafstandptekstGaramond"/>
            </w:pPr>
            <w:r>
              <w:t>Det anføres, at lovforslaget i stedet for at gøre det muligt at genplacere, mens man fortsat bor uden for Danmark, vil forhindre, at man e</w:t>
            </w:r>
            <w:r>
              <w:t>f</w:t>
            </w:r>
            <w:r>
              <w:t>ter en genanbringelse af en eje</w:t>
            </w:r>
            <w:r>
              <w:t>n</w:t>
            </w:r>
            <w:r>
              <w:t>domsavance i en udenlandsk eje</w:t>
            </w:r>
            <w:r>
              <w:t>n</w:t>
            </w:r>
            <w:r>
              <w:t>dom kan udrejse fra Danmark. En udrejse vil under disse omstændi</w:t>
            </w:r>
            <w:r>
              <w:t>g</w:t>
            </w:r>
            <w:r>
              <w:t>heder medføre et større skatteti</w:t>
            </w:r>
            <w:r>
              <w:t>l</w:t>
            </w:r>
            <w:r>
              <w:t xml:space="preserve">svar. Der indføres godt nok en henstandsordning, men beløbet skal forrentes og afdrages over maksimalt 7 år. </w:t>
            </w:r>
          </w:p>
          <w:p w:rsidR="00711AED" w:rsidRDefault="00711AED" w:rsidP="00711AED">
            <w:pPr>
              <w:pStyle w:val="Tabel-BrdtekstmedafstandptekstGaramond"/>
            </w:pPr>
          </w:p>
          <w:p w:rsidR="00711AED" w:rsidRDefault="00711AED" w:rsidP="00711AED">
            <w:pPr>
              <w:pStyle w:val="Tabel-BrdtekstmedafstandptekstGaramond"/>
            </w:pPr>
            <w:r>
              <w:t>Som eksempel anføres det, at en landmand i f</w:t>
            </w:r>
            <w:r w:rsidR="00682E5D">
              <w:t>x</w:t>
            </w:r>
            <w:r>
              <w:t xml:space="preserve"> Sønderjylland i dag kan sælge virksomheden og gena</w:t>
            </w:r>
            <w:r>
              <w:t>n</w:t>
            </w:r>
            <w:r>
              <w:lastRenderedPageBreak/>
              <w:t xml:space="preserve">bringe avancen ved etablering af en ny virksomhed i </w:t>
            </w:r>
            <w:proofErr w:type="spellStart"/>
            <w:r>
              <w:t>sydjylland</w:t>
            </w:r>
            <w:proofErr w:type="spellEnd"/>
            <w:r>
              <w:t>. Forsl</w:t>
            </w:r>
            <w:r>
              <w:t>a</w:t>
            </w:r>
            <w:r>
              <w:t>get vil forhindre ham i at kunne etablere virksomheden i Nordtys</w:t>
            </w:r>
            <w:r>
              <w:t>k</w:t>
            </w:r>
            <w:r>
              <w:t>land.</w:t>
            </w:r>
          </w:p>
          <w:p w:rsidR="00711AED" w:rsidRDefault="00711AED" w:rsidP="00711AED">
            <w:pPr>
              <w:pStyle w:val="Tabel-BrdtekstmedafstandptekstGaramond"/>
            </w:pPr>
          </w:p>
          <w:p w:rsidR="00711AED" w:rsidRDefault="00711AED" w:rsidP="00711AED">
            <w:pPr>
              <w:pStyle w:val="Tabel-BrdtekstmedafstandptekstGaramond"/>
            </w:pPr>
            <w:proofErr w:type="spellStart"/>
            <w:r>
              <w:t>agroSkat</w:t>
            </w:r>
            <w:proofErr w:type="spellEnd"/>
            <w:r>
              <w:t xml:space="preserve"> bemærker, at der tilsyn</w:t>
            </w:r>
            <w:r>
              <w:t>e</w:t>
            </w:r>
            <w:r>
              <w:t>ladende ikke i bemærkningerne er en vurdering af, om disse ændringer er i overensstemmelse med EU</w:t>
            </w:r>
            <w:r w:rsidR="00FE0B65">
              <w:t>-</w:t>
            </w:r>
            <w:r>
              <w:t>bestemmelserne om fri etablering</w:t>
            </w:r>
            <w:r>
              <w:t>s</w:t>
            </w:r>
            <w:r>
              <w:t>ret m.m. og fremhæver, at de er strammere end fraflytterreglerne vedrørende aktieavancer. Det for</w:t>
            </w:r>
            <w:r>
              <w:t>e</w:t>
            </w:r>
            <w:r>
              <w:t xml:space="preserve">kommer derfor efter </w:t>
            </w:r>
            <w:proofErr w:type="spellStart"/>
            <w:r>
              <w:t>agroSkats</w:t>
            </w:r>
            <w:proofErr w:type="spellEnd"/>
            <w:r>
              <w:t xml:space="preserve"> o</w:t>
            </w:r>
            <w:r>
              <w:t>p</w:t>
            </w:r>
            <w:r>
              <w:t>fattelse overraskende, at der skulle være hjemmel til at exitbeskatte ejendomme efter de foreslåede re</w:t>
            </w:r>
            <w:r>
              <w:t>g</w:t>
            </w:r>
            <w:r>
              <w:t>ler. Beskatning</w:t>
            </w:r>
            <w:r w:rsidR="00FE0B65">
              <w:t>en</w:t>
            </w:r>
            <w:r>
              <w:t xml:space="preserve"> er efter </w:t>
            </w:r>
            <w:proofErr w:type="spellStart"/>
            <w:r>
              <w:t>agroSkats</w:t>
            </w:r>
            <w:proofErr w:type="spellEnd"/>
            <w:r>
              <w:t xml:space="preserve"> opfattelse reelt så stor, at den vil forhindre en udrejse efter en ge</w:t>
            </w:r>
            <w:r>
              <w:t>n</w:t>
            </w:r>
            <w:r>
              <w:t>placering.</w:t>
            </w:r>
          </w:p>
          <w:p w:rsidR="00711AED" w:rsidRDefault="00711AED" w:rsidP="00711AED">
            <w:pPr>
              <w:pStyle w:val="Tabel-BrdtekstmedafstandptekstGaramond"/>
            </w:pPr>
          </w:p>
          <w:p w:rsidR="00711AED" w:rsidRPr="00711AED" w:rsidRDefault="00711AED" w:rsidP="00711AED">
            <w:pPr>
              <w:pStyle w:val="Tabel-BrdtekstmedafstandptekstGaramond"/>
              <w:rPr>
                <w:u w:val="single"/>
              </w:rPr>
            </w:pPr>
            <w:r w:rsidRPr="00711AED">
              <w:rPr>
                <w:u w:val="single"/>
              </w:rPr>
              <w:t>Reglerne om genanbringelse</w:t>
            </w:r>
          </w:p>
          <w:p w:rsidR="00711AED" w:rsidRDefault="00711AED" w:rsidP="00711AED">
            <w:pPr>
              <w:pStyle w:val="Tabel-BrdtekstmedafstandptekstGaramond"/>
            </w:pPr>
            <w:proofErr w:type="spellStart"/>
            <w:r>
              <w:t>agroSkat</w:t>
            </w:r>
            <w:proofErr w:type="spellEnd"/>
            <w:r>
              <w:t xml:space="preserve"> beskriver derudover de gældende regler i ejendomsavanc</w:t>
            </w:r>
            <w:r>
              <w:t>e</w:t>
            </w:r>
            <w:r>
              <w:t>beskatningsloven om genanbringe</w:t>
            </w:r>
            <w:r>
              <w:t>l</w:t>
            </w:r>
            <w:r>
              <w:t>se af fortjenester i udenlandske ejendomme. Muligheden for at genanbringe i udenlandske eje</w:t>
            </w:r>
            <w:r>
              <w:t>n</w:t>
            </w:r>
            <w:r>
              <w:t>domme blev ved indførelsen i 2004 begrundet med, at de tidligere re</w:t>
            </w:r>
            <w:r>
              <w:t>g</w:t>
            </w:r>
            <w:r>
              <w:t>ler (uden mulighed for genanbri</w:t>
            </w:r>
            <w:r>
              <w:t>n</w:t>
            </w:r>
            <w:r>
              <w:t xml:space="preserve">gelse i udenlandske ejendomme) måtte anses for værende i strid med reglerne om fri etableringsret. </w:t>
            </w:r>
            <w:proofErr w:type="spellStart"/>
            <w:r>
              <w:t>agr</w:t>
            </w:r>
            <w:r>
              <w:t>o</w:t>
            </w:r>
            <w:r>
              <w:t>Skat</w:t>
            </w:r>
            <w:proofErr w:type="spellEnd"/>
            <w:r>
              <w:t xml:space="preserve"> anfører derefter, at reglerne om fri etableringsret må forudsætte, at genanbringelsesreglerne tilnæ</w:t>
            </w:r>
            <w:r>
              <w:t>r</w:t>
            </w:r>
            <w:r>
              <w:t>melsesvis er de samme, uanset om ejeren og ejendommen befinder sig i Danmark eller et andet EU land.</w:t>
            </w: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9C6002" w:rsidRDefault="009C6002" w:rsidP="00711AED">
            <w:pPr>
              <w:pStyle w:val="Tabel-BrdtekstmedafstandptekstGaramond"/>
              <w:rPr>
                <w:u w:val="single"/>
              </w:rPr>
            </w:pPr>
          </w:p>
          <w:p w:rsidR="00711AED" w:rsidRPr="00711AED" w:rsidRDefault="009C6002" w:rsidP="00711AED">
            <w:pPr>
              <w:pStyle w:val="Tabel-BrdtekstmedafstandptekstGaramond"/>
              <w:rPr>
                <w:u w:val="single"/>
              </w:rPr>
            </w:pPr>
            <w:r>
              <w:rPr>
                <w:u w:val="single"/>
              </w:rPr>
              <w:t>Ø</w:t>
            </w:r>
            <w:r w:rsidR="00711AED" w:rsidRPr="00711AED">
              <w:rPr>
                <w:u w:val="single"/>
              </w:rPr>
              <w:t>vrige forhold</w:t>
            </w:r>
          </w:p>
          <w:p w:rsidR="00711AED" w:rsidRDefault="00711AED" w:rsidP="00711AED">
            <w:pPr>
              <w:pStyle w:val="Tabel-BrdtekstmedafstandptekstGaramond"/>
            </w:pPr>
            <w:proofErr w:type="spellStart"/>
            <w:r>
              <w:t>agroSkat</w:t>
            </w:r>
            <w:proofErr w:type="spellEnd"/>
            <w:r>
              <w:t xml:space="preserve"> anfører, at det kan give problemer at opgøre den udenlan</w:t>
            </w:r>
            <w:r>
              <w:t>d</w:t>
            </w:r>
            <w:r>
              <w:t>ske fiktive skat, som der efter re</w:t>
            </w:r>
            <w:r>
              <w:t>g</w:t>
            </w:r>
            <w:r>
              <w:t>lerne skal lempes for. I tilfælde hvor en udenlandsk ejendom vil være skattepligtig efter danske re</w:t>
            </w:r>
            <w:r>
              <w:t>g</w:t>
            </w:r>
            <w:r>
              <w:t>ler ved fraflytningen, men ikke skattepligtig efter reglerne i det land, hvor ejendommen er beli</w:t>
            </w:r>
            <w:r>
              <w:t>g</w:t>
            </w:r>
            <w:r>
              <w:t>gende, så vil der ikke være nogen fiktiv udenlandsk skat, som der kan gives nedslag for i den opgjorte danske skat. Der opfordres til, at der skrives nogle eksempler på b</w:t>
            </w:r>
            <w:r>
              <w:t>e</w:t>
            </w:r>
            <w:r>
              <w:t>regningen af beskatningen og le</w:t>
            </w:r>
            <w:r>
              <w:t>m</w:t>
            </w:r>
            <w:r>
              <w:t>pelsen ind i bemærkningerne.</w:t>
            </w:r>
          </w:p>
          <w:p w:rsidR="00711AED" w:rsidRDefault="00711AED" w:rsidP="00711AED">
            <w:pPr>
              <w:pStyle w:val="Tabel-BrdtekstmedafstandptekstGaramond"/>
            </w:pPr>
          </w:p>
          <w:p w:rsidR="00711AED" w:rsidRDefault="00711AED" w:rsidP="00711AED">
            <w:pPr>
              <w:pStyle w:val="Tabel-BrdtekstmedafstandptekstGaramond"/>
            </w:pPr>
            <w:proofErr w:type="spellStart"/>
            <w:r>
              <w:t>agroSkat</w:t>
            </w:r>
            <w:proofErr w:type="spellEnd"/>
            <w:r>
              <w:t xml:space="preserve"> mener, at de danske ska</w:t>
            </w:r>
            <w:r>
              <w:t>t</w:t>
            </w:r>
            <w:r>
              <w:t>temyndigheder vil få store probl</w:t>
            </w:r>
            <w:r>
              <w:t>e</w:t>
            </w:r>
            <w:r>
              <w:t>mer med at kontrollere værdiansæ</w:t>
            </w:r>
            <w:r>
              <w:t>t</w:t>
            </w:r>
            <w:r>
              <w:t>telsen af en ejendom, som ikke sæ</w:t>
            </w:r>
            <w:r>
              <w:t>l</w:t>
            </w:r>
            <w:r>
              <w:t>ges.</w:t>
            </w:r>
          </w:p>
          <w:p w:rsidR="00711AED" w:rsidRDefault="00711AED" w:rsidP="00711AED">
            <w:pPr>
              <w:pStyle w:val="Tabel-BrdtekstmedafstandptekstGaramond"/>
            </w:pPr>
          </w:p>
          <w:p w:rsidR="006C1E5A" w:rsidRDefault="006C1E5A" w:rsidP="00711AED">
            <w:pPr>
              <w:pStyle w:val="Tabel-BrdtekstmedafstandptekstGaramond"/>
            </w:pPr>
          </w:p>
          <w:p w:rsidR="006C1E5A" w:rsidRDefault="006C1E5A" w:rsidP="00711AED">
            <w:pPr>
              <w:pStyle w:val="Tabel-BrdtekstmedafstandptekstGaramond"/>
            </w:pPr>
          </w:p>
          <w:p w:rsidR="006C1E5A" w:rsidRDefault="006C1E5A" w:rsidP="00711AED">
            <w:pPr>
              <w:pStyle w:val="Tabel-BrdtekstmedafstandptekstGaramond"/>
            </w:pPr>
          </w:p>
          <w:p w:rsidR="006C1E5A" w:rsidRDefault="006C1E5A" w:rsidP="00711AED">
            <w:pPr>
              <w:pStyle w:val="Tabel-BrdtekstmedafstandptekstGaramond"/>
            </w:pPr>
          </w:p>
          <w:p w:rsidR="00711AED" w:rsidRPr="00711AED" w:rsidRDefault="00711AED" w:rsidP="00711AED">
            <w:pPr>
              <w:pStyle w:val="Tabel-BrdtekstmedafstandptekstGaramond"/>
            </w:pPr>
            <w:proofErr w:type="spellStart"/>
            <w:r>
              <w:t>agroSkat</w:t>
            </w:r>
            <w:proofErr w:type="spellEnd"/>
            <w:r>
              <w:t xml:space="preserve"> anser det for usikkert, i hvilket omfang et tab konstateret ved fraflytning kan modregnes i genanbragte avancer</w:t>
            </w:r>
          </w:p>
          <w:p w:rsidR="006C1E5A" w:rsidRDefault="006C1E5A" w:rsidP="00711AED">
            <w:pPr>
              <w:pStyle w:val="Tabel-BrdtekstmedafstandptekstGaramond"/>
            </w:pPr>
          </w:p>
          <w:p w:rsidR="00711AED" w:rsidRPr="00711AED" w:rsidRDefault="00711AED" w:rsidP="00711AED">
            <w:pPr>
              <w:pStyle w:val="Tabel-BrdtekstmedafstandptekstGaramond"/>
              <w:rPr>
                <w:u w:val="single"/>
              </w:rPr>
            </w:pPr>
            <w:r w:rsidRPr="00711AED">
              <w:rPr>
                <w:u w:val="single"/>
              </w:rPr>
              <w:t>Ikrafttrædelsen</w:t>
            </w:r>
          </w:p>
          <w:p w:rsidR="00711AED" w:rsidRDefault="00711AED" w:rsidP="00711AED">
            <w:pPr>
              <w:pStyle w:val="Tabel-BrdtekstmedafstandptekstGaramond"/>
            </w:pPr>
            <w:r>
              <w:t xml:space="preserve">Reglerne skal efter forslaget gælde fra 1. marts 2015. </w:t>
            </w:r>
            <w:proofErr w:type="spellStart"/>
            <w:r>
              <w:t>agroSkat</w:t>
            </w:r>
            <w:proofErr w:type="spellEnd"/>
            <w:r>
              <w:t xml:space="preserve"> bemæ</w:t>
            </w:r>
            <w:r>
              <w:t>r</w:t>
            </w:r>
            <w:r>
              <w:t>ker, at man tidligere, når reglerne om ejendomsavancebeskatning er blevet skærpet, normalt har tilladt, at man kan bruge en indgangsværdi svarende til ejendommens værdi ved ikrafttrædelsen af de nye regler.</w:t>
            </w: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6C1E5A" w:rsidRDefault="006C1E5A"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roofErr w:type="spellStart"/>
            <w:r>
              <w:t>agroSkat</w:t>
            </w:r>
            <w:proofErr w:type="spellEnd"/>
            <w:r>
              <w:t xml:space="preserve"> bemærker, at der mangler regler og bemærkninger i relation til konsekvenserne for allerede etabl</w:t>
            </w:r>
            <w:r>
              <w:t>e</w:t>
            </w:r>
            <w:r>
              <w:t>rede henstandsordninger.</w:t>
            </w: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126D75" w:rsidRPr="00B5346F" w:rsidRDefault="00711AED" w:rsidP="00711AED">
            <w:pPr>
              <w:pStyle w:val="Tabel-BrdtekstmedafstandptekstGaramond"/>
            </w:pPr>
            <w:r>
              <w:t xml:space="preserve">Derudover anfører </w:t>
            </w:r>
            <w:proofErr w:type="spellStart"/>
            <w:r>
              <w:t>agroSkat</w:t>
            </w:r>
            <w:proofErr w:type="spellEnd"/>
            <w:r>
              <w:t>, at lo</w:t>
            </w:r>
            <w:r>
              <w:t>v</w:t>
            </w:r>
            <w:r>
              <w:t>forslagets udformning betyder, at hvis der er sket en genanbringelse i en udenlandsk ejendom inden 1. marts 2015, og fraflytningen sker efter 1. marts 2015, så vil man fo</w:t>
            </w:r>
            <w:r>
              <w:t>r</w:t>
            </w:r>
            <w:r>
              <w:t>mentlig være omfattet af de i lo</w:t>
            </w:r>
            <w:r>
              <w:t>v</w:t>
            </w:r>
            <w:r>
              <w:t>forslaget indeholdte regler om exi</w:t>
            </w:r>
            <w:r>
              <w:t>t</w:t>
            </w:r>
            <w:r>
              <w:t xml:space="preserve">beskatning. Der mangler efter </w:t>
            </w:r>
            <w:proofErr w:type="spellStart"/>
            <w:r>
              <w:t>agroSkats</w:t>
            </w:r>
            <w:proofErr w:type="spellEnd"/>
            <w:r>
              <w:t xml:space="preserve"> opfattelse regler om, at dette ikke skal gøre sig gældende.</w:t>
            </w:r>
          </w:p>
        </w:tc>
        <w:tc>
          <w:tcPr>
            <w:tcW w:w="230" w:type="dxa"/>
            <w:shd w:val="clear" w:color="auto" w:fill="FFFFFF" w:themeFill="background1"/>
          </w:tcPr>
          <w:p w:rsidR="00815F28" w:rsidRPr="00B5346F" w:rsidRDefault="00815F28" w:rsidP="00B02772"/>
        </w:tc>
        <w:tc>
          <w:tcPr>
            <w:tcW w:w="3443" w:type="dxa"/>
            <w:tcBorders>
              <w:top w:val="single" w:sz="4" w:space="0" w:color="14143C" w:themeColor="accent1"/>
              <w:bottom w:val="single" w:sz="4" w:space="0" w:color="14143C" w:themeColor="accent1"/>
            </w:tcBorders>
            <w:shd w:val="clear" w:color="auto" w:fill="D2CED8"/>
          </w:tcPr>
          <w:p w:rsidR="00AD3C0B" w:rsidRDefault="00AD3C0B" w:rsidP="00711AED">
            <w:pPr>
              <w:pStyle w:val="Tabel-BrdtekstmedafstandptekstGaramond"/>
            </w:pPr>
          </w:p>
          <w:p w:rsidR="00711AED" w:rsidRPr="00711AED" w:rsidRDefault="00711AED" w:rsidP="00711AED">
            <w:pPr>
              <w:pStyle w:val="Tabel-BrdtekstmedafstandptekstGaramond"/>
            </w:pPr>
            <w:r>
              <w:t>Som anført i resumeet og oversi</w:t>
            </w:r>
            <w:r>
              <w:t>g</w:t>
            </w:r>
            <w:r>
              <w:t>ten i lovforslaget indeholder l</w:t>
            </w:r>
            <w:r w:rsidRPr="00711AED">
              <w:t>o</w:t>
            </w:r>
            <w:r w:rsidRPr="00711AED">
              <w:t>v</w:t>
            </w:r>
            <w:r w:rsidRPr="00711AED">
              <w:t>forslaget en harmonisering af re</w:t>
            </w:r>
            <w:r w:rsidRPr="00711AED">
              <w:t>g</w:t>
            </w:r>
            <w:r w:rsidRPr="00711AED">
              <w:t>lerne for exitbeskatning. Der for</w:t>
            </w:r>
            <w:r w:rsidRPr="00711AED">
              <w:t>e</w:t>
            </w:r>
            <w:r w:rsidRPr="00711AED">
              <w:t>slås i den forbindelse indført en a</w:t>
            </w:r>
            <w:r w:rsidRPr="00711AED">
              <w:t>d</w:t>
            </w:r>
            <w:r w:rsidRPr="00711AED">
              <w:t>gang for fysiske personer til at væ</w:t>
            </w:r>
            <w:r w:rsidRPr="00711AED">
              <w:t>l</w:t>
            </w:r>
            <w:r w:rsidRPr="00711AED">
              <w:t xml:space="preserve">ge henstand mod en forrentning af henstandsbeløbet. </w:t>
            </w:r>
          </w:p>
          <w:p w:rsidR="00711AED" w:rsidRPr="00711AED" w:rsidRDefault="00711AED" w:rsidP="00711AED">
            <w:pPr>
              <w:pStyle w:val="Tabel-BrdtekstmedafstandptekstGaramond"/>
            </w:pPr>
          </w:p>
          <w:p w:rsidR="00711AED" w:rsidRPr="00711AED" w:rsidRDefault="00711AED" w:rsidP="00711AED">
            <w:pPr>
              <w:pStyle w:val="Tabel-BrdtekstmedafstandptekstGaramond"/>
            </w:pPr>
            <w:r w:rsidRPr="00711AED">
              <w:t>Forslaget følger samme princip som den henstandsordning, der blev indført for exitskat ved selsk</w:t>
            </w:r>
            <w:r w:rsidRPr="00711AED">
              <w:t>a</w:t>
            </w:r>
            <w:r w:rsidRPr="00711AED">
              <w:t>bers overførsel af aktiver og pass</w:t>
            </w:r>
            <w:r w:rsidRPr="00711AED">
              <w:t>i</w:t>
            </w:r>
            <w:r w:rsidRPr="00711AED">
              <w:t>ver til et andet EU-/EØS-land, jf. lov nr. 170 af 26. februar 2014.</w:t>
            </w:r>
          </w:p>
          <w:p w:rsidR="00711AED" w:rsidRDefault="00711AED" w:rsidP="00711AED">
            <w:pPr>
              <w:pStyle w:val="Tabel-BrdtekstmedafstandptekstGaramond"/>
            </w:pPr>
          </w:p>
          <w:p w:rsidR="00711AED" w:rsidRDefault="00711AED" w:rsidP="00711AED">
            <w:pPr>
              <w:pStyle w:val="Tabel-BrdtekstmedafstandptekstGaramond"/>
            </w:pPr>
            <w:r>
              <w:t>Reglerne ved fraflytning vil således generelt blive de samme for pers</w:t>
            </w:r>
            <w:r>
              <w:t>o</w:t>
            </w:r>
            <w:r>
              <w:t>ner, som ejer erhvervsejendomme, som for selskaber og personer, der driver anden erhvervsvirksomhed.</w:t>
            </w:r>
          </w:p>
          <w:p w:rsidR="00711AED" w:rsidRDefault="00711AED" w:rsidP="00711AED">
            <w:pPr>
              <w:pStyle w:val="Tabel-BrdtekstmedafstandptekstGaramond"/>
            </w:pPr>
          </w:p>
          <w:p w:rsidR="00711AED" w:rsidRDefault="00711AED" w:rsidP="00711AED">
            <w:pPr>
              <w:pStyle w:val="Tabel-BrdtekstmedafstandptekstGaramond"/>
            </w:pPr>
            <w:r w:rsidRPr="00B94073">
              <w:t>I forhold til fast ejendom beligge</w:t>
            </w:r>
            <w:r w:rsidRPr="00B94073">
              <w:t>n</w:t>
            </w:r>
            <w:r w:rsidRPr="00B94073">
              <w:t>de i udlandet vil der dermed også</w:t>
            </w:r>
            <w:r>
              <w:t xml:space="preserve"> – i modsætning til tidligere</w:t>
            </w:r>
            <w:r w:rsidRPr="00B94073">
              <w:t xml:space="preserve"> </w:t>
            </w:r>
            <w:r>
              <w:t xml:space="preserve">– </w:t>
            </w:r>
            <w:r w:rsidRPr="00B94073">
              <w:t>kunne blive tale om exitbeskatning af g</w:t>
            </w:r>
            <w:r w:rsidRPr="00B94073">
              <w:t>e</w:t>
            </w:r>
            <w:r w:rsidRPr="00B94073">
              <w:t>vinster, hvor der ved en faktisk a</w:t>
            </w:r>
            <w:r w:rsidRPr="00B94073">
              <w:t>f</w:t>
            </w:r>
            <w:r w:rsidRPr="00B94073">
              <w:t xml:space="preserve">ståelse ville være indtrådt skattepligt heraf. </w:t>
            </w:r>
            <w:r>
              <w:t>Dette sikrer, at den beska</w:t>
            </w:r>
            <w:r>
              <w:t>t</w:t>
            </w:r>
            <w:r>
              <w:t xml:space="preserve">ningskompetence, som tilkommer Danmark, udnyttes. </w:t>
            </w:r>
          </w:p>
          <w:p w:rsidR="00711AED" w:rsidRDefault="00711AED" w:rsidP="00711AED">
            <w:pPr>
              <w:pStyle w:val="Tabel-BrdtekstmedafstandptekstGaramond"/>
            </w:pPr>
          </w:p>
          <w:p w:rsidR="00711AED" w:rsidRDefault="00711AED" w:rsidP="00711AED">
            <w:pPr>
              <w:pStyle w:val="Tabel-BrdtekstmedafstandptekstGaramond"/>
            </w:pPr>
            <w:r>
              <w:t>Den eksisterende ordning i eje</w:t>
            </w:r>
            <w:r>
              <w:t>n</w:t>
            </w:r>
            <w:r>
              <w:t>domsavancebeskatningslovens § 6 B vedrørende genanbragte avancer i udenlandske erhvervsejendomme, herunder muligheden for genb</w:t>
            </w:r>
            <w:r>
              <w:t>e</w:t>
            </w:r>
            <w:r>
              <w:t>regning, hvis der efterfølgende re</w:t>
            </w:r>
            <w:r>
              <w:t>a</w:t>
            </w:r>
            <w:r>
              <w:t>liseres et tab, samt bortfald af den beregnede exitskat ved tilbagefly</w:t>
            </w:r>
            <w:r>
              <w:t>t</w:t>
            </w:r>
            <w:r>
              <w:t xml:space="preserve">ning, er beskrevet i afsnit </w:t>
            </w:r>
            <w:r w:rsidRPr="0087212B">
              <w:t xml:space="preserve">3.1.1.1.4. </w:t>
            </w:r>
            <w:r>
              <w:t xml:space="preserve">i de almindelige bemærkninger til </w:t>
            </w:r>
            <w:r>
              <w:lastRenderedPageBreak/>
              <w:t xml:space="preserve">lovforslaget. </w:t>
            </w:r>
          </w:p>
          <w:p w:rsidR="00711AED" w:rsidRDefault="00711AED" w:rsidP="00711AED">
            <w:pPr>
              <w:pStyle w:val="Tabel-BrdtekstmedafstandptekstGaramond"/>
            </w:pPr>
          </w:p>
          <w:p w:rsidR="00711AED" w:rsidRDefault="00711AED" w:rsidP="00711AED">
            <w:pPr>
              <w:pStyle w:val="Tabel-BrdtekstmedafstandptekstGaramond"/>
            </w:pPr>
            <w:r>
              <w:t>Der er i afsnittet nu også indsat bemærkning om muligheden for, at en længstlevende ægtefælle efter de gældende regler kan indtræde i en afdød ægtefælles henstandsordning vedrørende genanbragte avancer.</w:t>
            </w:r>
          </w:p>
          <w:p w:rsidR="00711AED" w:rsidRDefault="00711AED" w:rsidP="00711AED">
            <w:pPr>
              <w:pStyle w:val="Tabel-BrdtekstmedafstandptekstGaramond"/>
            </w:pPr>
          </w:p>
          <w:p w:rsidR="00711AED" w:rsidRDefault="00711AED" w:rsidP="00711AED">
            <w:pPr>
              <w:pStyle w:val="Tabel-BrdtekstmedafstandptekstGaramond"/>
            </w:pPr>
            <w:r>
              <w:t>Det er derudover fremhævet i de almindelige bemærkninger, at m</w:t>
            </w:r>
            <w:r>
              <w:t>u</w:t>
            </w:r>
            <w:r>
              <w:t>lighederne for genberegning, bor</w:t>
            </w:r>
            <w:r>
              <w:t>t</w:t>
            </w:r>
            <w:r>
              <w:t>fald og succession afskaffes som led i harmoniseringen af exitskatt</w:t>
            </w:r>
            <w:r>
              <w:t>e</w:t>
            </w:r>
            <w:r>
              <w:t>reglerne. Dette bringer reglerne på linje med de gældende henstand</w:t>
            </w:r>
            <w:r>
              <w:t>s</w:t>
            </w:r>
            <w:r>
              <w:t>regler for selskaber samt for sel</w:t>
            </w:r>
            <w:r>
              <w:t>v</w:t>
            </w:r>
            <w:r>
              <w:t xml:space="preserve">stændigt erhvervsdrivende i forhold til exitskat efter afskrivningslovens § 40 D. </w:t>
            </w:r>
          </w:p>
          <w:p w:rsidR="00711AED" w:rsidRDefault="00711AED" w:rsidP="00711AED">
            <w:pPr>
              <w:pStyle w:val="Tabel-BrdtekstmedafstandptekstGaramond"/>
            </w:pPr>
          </w:p>
          <w:p w:rsidR="00711AED" w:rsidRDefault="00711AED" w:rsidP="00711AED">
            <w:pPr>
              <w:pStyle w:val="Tabel-BrdtekstmedafstandptekstGaramond"/>
            </w:pPr>
            <w:r>
              <w:t>Reglerne ved fraflytning vil herefter generelt blive de samme for pers</w:t>
            </w:r>
            <w:r>
              <w:t>o</w:t>
            </w:r>
            <w:r>
              <w:t xml:space="preserve">ner, som ejer erhvervsejendomme, som for selskaber og personer, der driver anden erhvervsvirksomhed. </w:t>
            </w:r>
          </w:p>
          <w:p w:rsidR="00BF626A" w:rsidRDefault="00BF626A" w:rsidP="00711AED">
            <w:pPr>
              <w:pStyle w:val="Tabel-BrdtekstmedafstandptekstGaramond"/>
            </w:pPr>
          </w:p>
          <w:p w:rsidR="00711AED" w:rsidRDefault="00711AED" w:rsidP="00711AED">
            <w:pPr>
              <w:pStyle w:val="Tabel-BrdtekstmedafstandptekstGaramond"/>
            </w:pPr>
            <w:r w:rsidRPr="005B7AF6">
              <w:t>På baggrund af de seneste EU-domme på området, som har b</w:t>
            </w:r>
            <w:r w:rsidRPr="005B7AF6">
              <w:t>i</w:t>
            </w:r>
            <w:r w:rsidRPr="005B7AF6">
              <w:t>draget med konkrete kriterier for udformningen af en henstandsor</w:t>
            </w:r>
            <w:r w:rsidRPr="005B7AF6">
              <w:t>d</w:t>
            </w:r>
            <w:r w:rsidRPr="005B7AF6">
              <w:t>ning, er det Skatteministeriets o</w:t>
            </w:r>
            <w:r w:rsidRPr="005B7AF6">
              <w:t>p</w:t>
            </w:r>
            <w:r w:rsidRPr="005B7AF6">
              <w:t>fattelse, at de foreslåede regler er i overensstemmelse med EU-retten.</w:t>
            </w:r>
            <w:r>
              <w:t xml:space="preserve"> </w:t>
            </w:r>
            <w:r w:rsidRPr="0088162F">
              <w:t>Der henvises til kommentarerne til Dansk Erhverv</w:t>
            </w:r>
            <w:r w:rsidR="00682E5D">
              <w:t>,</w:t>
            </w:r>
            <w:r w:rsidR="0088162F" w:rsidRPr="0088162F">
              <w:t xml:space="preserve"> DI</w:t>
            </w:r>
            <w:r w:rsidR="00682E5D">
              <w:t xml:space="preserve"> og FSR</w:t>
            </w:r>
            <w:r w:rsidR="00BF626A">
              <w:t>,</w:t>
            </w:r>
            <w:r w:rsidR="0088162F" w:rsidRPr="0088162F">
              <w:t xml:space="preserve"> </w:t>
            </w:r>
            <w:r w:rsidRPr="0088162F">
              <w:t>for så vidt angår de EU-retlige overveje</w:t>
            </w:r>
            <w:r w:rsidRPr="0088162F">
              <w:t>l</w:t>
            </w:r>
            <w:r w:rsidRPr="0088162F">
              <w:t>ser ved den konkrete indretning af den foreslåede exitskatteordning.</w:t>
            </w:r>
            <w:r>
              <w:t xml:space="preserve"> </w:t>
            </w:r>
          </w:p>
          <w:p w:rsid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P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711AED" w:rsidRDefault="00711AED" w:rsidP="00711AED">
            <w:pPr>
              <w:pStyle w:val="Tabel-BrdtekstmedafstandptekstGaramond"/>
            </w:pPr>
          </w:p>
          <w:p w:rsidR="006C1E5A" w:rsidRDefault="006C1E5A" w:rsidP="00711AED">
            <w:pPr>
              <w:pStyle w:val="Tabel-BrdtekstmedafstandptekstGaramond"/>
            </w:pPr>
          </w:p>
          <w:p w:rsidR="006C1E5A" w:rsidRDefault="006C1E5A" w:rsidP="00711AED">
            <w:pPr>
              <w:pStyle w:val="Tabel-BrdtekstmedafstandptekstGaramond"/>
            </w:pPr>
          </w:p>
          <w:p w:rsidR="006C1E5A" w:rsidRDefault="006C1E5A" w:rsidP="00711AED">
            <w:pPr>
              <w:pStyle w:val="Tabel-BrdtekstmedafstandptekstGaramond"/>
            </w:pPr>
          </w:p>
          <w:p w:rsidR="00AD3C0B" w:rsidRDefault="00AD3C0B" w:rsidP="00711AED">
            <w:pPr>
              <w:pStyle w:val="Tabel-BrdtekstmedafstandptekstGaramond"/>
            </w:pPr>
          </w:p>
          <w:p w:rsidR="00711AED" w:rsidRDefault="00711AED" w:rsidP="00711AED">
            <w:pPr>
              <w:pStyle w:val="Tabel-BrdtekstmedafstandptekstGaramond"/>
            </w:pPr>
            <w:r>
              <w:t>Der ændres med lovforslaget ikke på reglerne for genanbringelse af ejendomsavance. De eksisterende regler, der blev indført i 2004, hvorefter genanbringelse også kan ske i udenlandske ejendomme, o</w:t>
            </w:r>
            <w:r>
              <w:t>p</w:t>
            </w:r>
            <w:r>
              <w:t>retholdes således med lovforslaget. Tilsvarende de gældende regler i</w:t>
            </w:r>
            <w:r>
              <w:t>n</w:t>
            </w:r>
            <w:r>
              <w:t>debærer forslaget, at der skal ske beskatning af den latente skat på tidspunktet for ophør af dansk skattepligt. Forslaget indebærer endvidere, at ejendomme bliver omfattet af den samme henstand</w:t>
            </w:r>
            <w:r>
              <w:t>s</w:t>
            </w:r>
            <w:r>
              <w:t>ordning, som andre erhvervsakt</w:t>
            </w:r>
            <w:r>
              <w:t>i</w:t>
            </w:r>
            <w:r>
              <w:t xml:space="preserve">ver, hvorefter </w:t>
            </w:r>
            <w:r w:rsidRPr="001E7247">
              <w:t>gælden (den opgjorte exitskat, som der er opnået he</w:t>
            </w:r>
            <w:r w:rsidRPr="001E7247">
              <w:t>n</w:t>
            </w:r>
            <w:r w:rsidRPr="001E7247">
              <w:t xml:space="preserve">stand med) </w:t>
            </w:r>
            <w:r>
              <w:t xml:space="preserve">skal afdrages </w:t>
            </w:r>
            <w:r w:rsidRPr="001E7247">
              <w:t xml:space="preserve">løbende i takt med, at der oppebæres indtægt </w:t>
            </w:r>
            <w:r>
              <w:t xml:space="preserve">på </w:t>
            </w:r>
            <w:r w:rsidRPr="001E7247">
              <w:t>aktive</w:t>
            </w:r>
            <w:r>
              <w:t>t</w:t>
            </w:r>
            <w:r w:rsidRPr="001E7247">
              <w:t>, dog mindst med 1/7 å</w:t>
            </w:r>
            <w:r w:rsidRPr="001E7247">
              <w:t>r</w:t>
            </w:r>
            <w:r w:rsidRPr="001E7247">
              <w:lastRenderedPageBreak/>
              <w:t>ligt af den oprindelige henstand</w:t>
            </w:r>
            <w:r w:rsidRPr="001E7247">
              <w:t>s</w:t>
            </w:r>
            <w:r w:rsidRPr="001E7247">
              <w:t xml:space="preserve">saldo ved overførslen m.v. </w:t>
            </w:r>
            <w:r>
              <w:t>Der kan således, som efter de gældende re</w:t>
            </w:r>
            <w:r>
              <w:t>g</w:t>
            </w:r>
            <w:r>
              <w:t>ler, fortsat opnås henstand</w:t>
            </w:r>
            <w:r w:rsidR="00FE0B65">
              <w:t>,</w:t>
            </w:r>
            <w:r>
              <w:t xml:space="preserve"> indtil den nye ejendom afstås, men he</w:t>
            </w:r>
            <w:r>
              <w:t>n</w:t>
            </w:r>
            <w:r>
              <w:t>standsreglerne er som led i harm</w:t>
            </w:r>
            <w:r>
              <w:t>o</w:t>
            </w:r>
            <w:r>
              <w:t>niseringen med de regler, der gæ</w:t>
            </w:r>
            <w:r>
              <w:t>l</w:t>
            </w:r>
            <w:r>
              <w:t>der for andre erhvervsaktiver, skærpet, så der skal afdrages mindst 1/7 af henstandssaldoen årligt. Der henvises til kommentarerne til h</w:t>
            </w:r>
            <w:r>
              <w:t>ø</w:t>
            </w:r>
            <w:r>
              <w:t>ringssvaret fra Dansk Erhverv i forhold til de EU-retlige overveje</w:t>
            </w:r>
            <w:r>
              <w:t>l</w:t>
            </w:r>
            <w:r>
              <w:t>ser i forhold hertil. Hvis de gæ</w:t>
            </w:r>
            <w:r>
              <w:t>l</w:t>
            </w:r>
            <w:r>
              <w:t>dende exitskatteregler for eje</w:t>
            </w:r>
            <w:r>
              <w:t>n</w:t>
            </w:r>
            <w:r>
              <w:t xml:space="preserve">domme opretholdes, vil der være tale om en væsentligt lempeligere exitbeskatning for ejendomme end for andre erhvervsaktiver.   </w:t>
            </w:r>
          </w:p>
          <w:p w:rsidR="00711AED" w:rsidRDefault="00711AED" w:rsidP="00711AED">
            <w:pPr>
              <w:pStyle w:val="Tabel-BrdtekstmedafstandptekstGaramond"/>
            </w:pPr>
          </w:p>
          <w:p w:rsidR="009C6002" w:rsidRDefault="009C6002" w:rsidP="00711AED">
            <w:pPr>
              <w:pStyle w:val="Tabel-BrdtekstmedafstandptekstGaramond"/>
            </w:pPr>
          </w:p>
          <w:p w:rsidR="00711AED" w:rsidRDefault="00711AED" w:rsidP="00711AED">
            <w:pPr>
              <w:pStyle w:val="Tabel-BrdtekstmedafstandptekstGaramond"/>
            </w:pPr>
            <w:r w:rsidRPr="00711AED">
              <w:t>Den foreslåede bestemmelse om lempelse for udenlandsk skat svarer til den eksisterende bestemmelse i ligningslovens § 33, stk. 5, der blev indført for selskaber ved lov nr. 312 af 17. maj 1995</w:t>
            </w:r>
            <w:r>
              <w:t>.</w:t>
            </w:r>
            <w:r w:rsidRPr="00711AED">
              <w:t xml:space="preserve"> </w:t>
            </w:r>
            <w:r w:rsidR="006C1E5A" w:rsidRPr="006C1E5A">
              <w:t>Den skat</w:t>
            </w:r>
            <w:r w:rsidR="006C1E5A">
              <w:t>, som der lempes for,</w:t>
            </w:r>
            <w:r w:rsidR="006C1E5A" w:rsidRPr="006C1E5A">
              <w:t xml:space="preserve"> </w:t>
            </w:r>
            <w:r w:rsidR="006C1E5A">
              <w:t>er</w:t>
            </w:r>
            <w:r w:rsidR="006C1E5A" w:rsidRPr="006C1E5A">
              <w:t xml:space="preserve"> den skat, det p</w:t>
            </w:r>
            <w:r w:rsidR="006C1E5A" w:rsidRPr="006C1E5A">
              <w:t>å</w:t>
            </w:r>
            <w:r w:rsidR="006C1E5A" w:rsidRPr="006C1E5A">
              <w:t xml:space="preserve">gældende udland ville have pålignet </w:t>
            </w:r>
            <w:r w:rsidR="006C1E5A">
              <w:t>personen</w:t>
            </w:r>
            <w:r w:rsidR="006C1E5A" w:rsidRPr="006C1E5A">
              <w:t xml:space="preserve">, hvis det </w:t>
            </w:r>
            <w:r w:rsidR="006C1E5A">
              <w:t>pågældende a</w:t>
            </w:r>
            <w:r w:rsidR="006C1E5A">
              <w:t>k</w:t>
            </w:r>
            <w:r w:rsidR="006C1E5A">
              <w:t>tiv</w:t>
            </w:r>
            <w:r w:rsidR="006C1E5A" w:rsidRPr="006C1E5A">
              <w:t xml:space="preserve"> var blevet afhændet på tid</w:t>
            </w:r>
            <w:r w:rsidR="006C1E5A" w:rsidRPr="006C1E5A">
              <w:t>s</w:t>
            </w:r>
            <w:r w:rsidR="006C1E5A" w:rsidRPr="006C1E5A">
              <w:t>punktet for skattepligt</w:t>
            </w:r>
            <w:r w:rsidR="006C1E5A">
              <w:t>en</w:t>
            </w:r>
            <w:r w:rsidR="006C1E5A" w:rsidRPr="006C1E5A">
              <w:t>s ophør</w:t>
            </w:r>
            <w:r w:rsidR="006C1E5A">
              <w:t xml:space="preserve">. </w:t>
            </w:r>
            <w:r w:rsidRPr="006C1E5A">
              <w:t>Der henvises i øvrigt til komment</w:t>
            </w:r>
            <w:r w:rsidRPr="006C1E5A">
              <w:t>a</w:t>
            </w:r>
            <w:r w:rsidRPr="006C1E5A">
              <w:t>rerne til FSR.</w:t>
            </w:r>
            <w:r>
              <w:t xml:space="preserve"> </w:t>
            </w:r>
          </w:p>
          <w:p w:rsidR="00711AED" w:rsidRDefault="00711AED" w:rsidP="00711AED">
            <w:pPr>
              <w:pStyle w:val="Tabel-BrdtekstmedafstandptekstGaramond"/>
            </w:pPr>
          </w:p>
          <w:p w:rsidR="00711AED" w:rsidRDefault="00711AED" w:rsidP="00711AED">
            <w:pPr>
              <w:pStyle w:val="Tabel-BrdtekstmedafstandptekstGaramond"/>
            </w:pPr>
            <w:r>
              <w:t>Reglerne for exitbeskatning af pe</w:t>
            </w:r>
            <w:r>
              <w:t>r</w:t>
            </w:r>
            <w:r>
              <w:t>soner, som ejer erhvervsejendo</w:t>
            </w:r>
            <w:r>
              <w:t>m</w:t>
            </w:r>
            <w:r>
              <w:t>me, harmoniseres med forslaget med reglerne for selskaber og pe</w:t>
            </w:r>
            <w:r>
              <w:t>r</w:t>
            </w:r>
            <w:r>
              <w:t>soner, der driver anden erhverv</w:t>
            </w:r>
            <w:r>
              <w:t>s</w:t>
            </w:r>
            <w:r>
              <w:t>virksomhed. Værdiansættelsen af ejendomme ved fraflytning vil sku</w:t>
            </w:r>
            <w:r>
              <w:t>l</w:t>
            </w:r>
            <w:r>
              <w:t xml:space="preserve">le ske efter samme grundlæggende principper, som allerede anvendes </w:t>
            </w:r>
            <w:r>
              <w:lastRenderedPageBreak/>
              <w:t>på disse områder samt ved ove</w:t>
            </w:r>
            <w:r>
              <w:t>r</w:t>
            </w:r>
            <w:r>
              <w:t>dragelse af fast ejendom mellem i</w:t>
            </w:r>
            <w:r>
              <w:t>n</w:t>
            </w:r>
            <w:r>
              <w:t>teresseforbu</w:t>
            </w:r>
            <w:r w:rsidR="00682E5D">
              <w:t>n</w:t>
            </w:r>
            <w:r>
              <w:t xml:space="preserve">dne parter. </w:t>
            </w:r>
          </w:p>
          <w:p w:rsidR="00711AED" w:rsidRDefault="00711AED" w:rsidP="00711AED">
            <w:pPr>
              <w:pStyle w:val="Tabel-BrdtekstmedafstandptekstGaramond"/>
            </w:pPr>
          </w:p>
          <w:p w:rsidR="00711AED" w:rsidRDefault="00711AED" w:rsidP="00711AED">
            <w:pPr>
              <w:pStyle w:val="Tabel-BrdtekstmedafstandptekstGaramond"/>
            </w:pPr>
            <w:r>
              <w:t>Tab konstateret på en udenlandsk ejendom ved fraflytning vil kunne modregnes i andre fortjenester på fast ejendom i samme omfang som tab konstateret ved salg.</w:t>
            </w:r>
          </w:p>
          <w:p w:rsidR="00711AED" w:rsidRDefault="00711AED" w:rsidP="00711AED">
            <w:pPr>
              <w:pStyle w:val="Tabel-BrdtekstmedafstandptekstGaramond"/>
            </w:pPr>
          </w:p>
          <w:p w:rsidR="00711AED" w:rsidRDefault="00711AED" w:rsidP="00711AED">
            <w:pPr>
              <w:pStyle w:val="Tabel-BrdtekstmedafstandptekstGaramond"/>
            </w:pPr>
            <w:r>
              <w:t>Lovforslaget indebærer ikke en u</w:t>
            </w:r>
            <w:r>
              <w:t>d</w:t>
            </w:r>
            <w:r>
              <w:t>videlse af de ejendomme og eje</w:t>
            </w:r>
            <w:r>
              <w:t>n</w:t>
            </w:r>
            <w:r>
              <w:t>domsavancer, som er skattepligtige i henhold til ejendomsavanceb</w:t>
            </w:r>
            <w:r>
              <w:t>e</w:t>
            </w:r>
            <w:r>
              <w:t>skatningsloven. Lovforslaget ind</w:t>
            </w:r>
            <w:r>
              <w:t>e</w:t>
            </w:r>
            <w:r>
              <w:t>bærer alene, at det ikke er muligt at undgå dansk beskatning af en i ø</w:t>
            </w:r>
            <w:r>
              <w:t>v</w:t>
            </w:r>
            <w:r>
              <w:t>rigt skattepligtig udenlandsk eje</w:t>
            </w:r>
            <w:r>
              <w:t>n</w:t>
            </w:r>
            <w:r>
              <w:t xml:space="preserve">domsavance ved at fraflytte landet. </w:t>
            </w:r>
          </w:p>
          <w:p w:rsidR="00711AED" w:rsidRDefault="00711AED" w:rsidP="00711AED">
            <w:pPr>
              <w:pStyle w:val="Tabel-BrdtekstmedafstandptekstGaramond"/>
            </w:pPr>
          </w:p>
          <w:p w:rsidR="00711AED" w:rsidRDefault="00711AED" w:rsidP="00711AED">
            <w:pPr>
              <w:pStyle w:val="Tabel-BrdtekstmedafstandptekstGaramond"/>
            </w:pPr>
            <w:r>
              <w:t>Det foreslås, at lovforslagets skæ</w:t>
            </w:r>
            <w:r>
              <w:t>r</w:t>
            </w:r>
            <w:r>
              <w:t>pelse af exitbeskatningen af fast ejendom skal have virkning fra 1. marts 2015, dvs. hvis ophør af dansk skattepligt sker den 1. marts eller senere. Der foreslås ikke en regel om indgangsværdier. Det f</w:t>
            </w:r>
            <w:r>
              <w:t>o</w:t>
            </w:r>
            <w:r>
              <w:t>reslåede virkningstidspunkt er på linje med det virkningstidspunkt, der eksempelvis blev fastlagt ved indførelsen af de gældende exitska</w:t>
            </w:r>
            <w:r>
              <w:t>t</w:t>
            </w:r>
            <w:r>
              <w:t>teregler i ejendomsavancebeska</w:t>
            </w:r>
            <w:r>
              <w:t>t</w:t>
            </w:r>
            <w:r>
              <w:t xml:space="preserve">ningsloven. </w:t>
            </w:r>
          </w:p>
          <w:p w:rsidR="00711AED" w:rsidRDefault="00711AED" w:rsidP="00711AED">
            <w:pPr>
              <w:pStyle w:val="Tabel-BrdtekstmedafstandptekstGaramond"/>
            </w:pPr>
          </w:p>
          <w:p w:rsidR="00711AED" w:rsidRDefault="00711AED" w:rsidP="00711AED">
            <w:pPr>
              <w:pStyle w:val="Tabel-BrdtekstmedafstandptekstGaramond"/>
            </w:pPr>
            <w:r w:rsidRPr="007C56FE">
              <w:t xml:space="preserve">Der </w:t>
            </w:r>
            <w:r w:rsidR="00682E5D">
              <w:t xml:space="preserve">vil </w:t>
            </w:r>
            <w:r w:rsidRPr="007C56FE">
              <w:t xml:space="preserve">i det fremsatte lovforslag </w:t>
            </w:r>
            <w:r w:rsidR="00682E5D">
              <w:t>komme til at indgå</w:t>
            </w:r>
            <w:r w:rsidRPr="007C56FE">
              <w:t xml:space="preserve"> en overgangsb</w:t>
            </w:r>
            <w:r w:rsidRPr="007C56FE">
              <w:t>e</w:t>
            </w:r>
            <w:r w:rsidRPr="007C56FE">
              <w:t>stemmelse for henstandsordninger, som er etableret forud for lovens ikrafttræden.</w:t>
            </w:r>
          </w:p>
          <w:p w:rsidR="00711AED" w:rsidRDefault="00711AED" w:rsidP="00711AED">
            <w:pPr>
              <w:pStyle w:val="Tabel-BrdtekstmedafstandptekstGaramond"/>
            </w:pPr>
          </w:p>
          <w:p w:rsidR="00711AED" w:rsidRDefault="00711AED" w:rsidP="00711AED">
            <w:pPr>
              <w:pStyle w:val="Tabel-BrdtekstmedafstandptekstGaramond"/>
            </w:pPr>
            <w:r>
              <w:t>Overgangsreglen betyder, at de e</w:t>
            </w:r>
            <w:r>
              <w:t>k</w:t>
            </w:r>
            <w:r>
              <w:t>sisterende henstandsordninger for</w:t>
            </w:r>
            <w:r>
              <w:t>t</w:t>
            </w:r>
            <w:r>
              <w:t xml:space="preserve">sætter efter de nugældende regler. Dermed forfalder henstandsbeløbet </w:t>
            </w:r>
            <w:r>
              <w:lastRenderedPageBreak/>
              <w:t>først til betaling ved ejendommens afståelse eller ejerens død, ligesom mulighederne for genberegning ved tab, bortfald ved tilbageflytning og succession ved død fortsat består. Derudover er kravet om sikke</w:t>
            </w:r>
            <w:r>
              <w:t>r</w:t>
            </w:r>
            <w:r>
              <w:t>hedsstillelse i visse tilfælde fastholdt for disse ordninger.</w:t>
            </w:r>
          </w:p>
          <w:p w:rsidR="00711AED" w:rsidRDefault="00711AED" w:rsidP="00711AED">
            <w:pPr>
              <w:pStyle w:val="Tabel-BrdtekstmedafstandptekstGaramond"/>
            </w:pPr>
          </w:p>
          <w:p w:rsidR="00711AED" w:rsidRDefault="00711AED" w:rsidP="00711AED">
            <w:pPr>
              <w:pStyle w:val="Tabel-BrdtekstmedafstandptekstGaramond"/>
            </w:pPr>
            <w:r>
              <w:t>I det omfang, at fraflytningen fi</w:t>
            </w:r>
            <w:r>
              <w:t>n</w:t>
            </w:r>
            <w:r>
              <w:t>der sted efter lovens ikrafttræden, vil det være de nye regler, der fi</w:t>
            </w:r>
            <w:r>
              <w:t>n</w:t>
            </w:r>
            <w:r>
              <w:t>der anvendelse. Der er tale om en skærpet exitbeskatning. Virkning</w:t>
            </w:r>
            <w:r>
              <w:t>s</w:t>
            </w:r>
            <w:r>
              <w:t xml:space="preserve">tidspunktet efter lovforslaget er derfor fastlagt således, at de nye regler alene gælder, hvis fraflytning sker efter 1. marts 2015. </w:t>
            </w:r>
          </w:p>
          <w:p w:rsidR="00711AED" w:rsidRDefault="00711AED" w:rsidP="00711AED">
            <w:pPr>
              <w:pStyle w:val="Tabel-BrdtekstmedafstandptekstGaramond"/>
            </w:pPr>
          </w:p>
          <w:p w:rsidR="00815F28" w:rsidRPr="00B5346F" w:rsidRDefault="00711AED" w:rsidP="00711AED">
            <w:pPr>
              <w:pStyle w:val="Tabel-BrdtekstmedafstandptekstGaramond"/>
            </w:pPr>
            <w:r>
              <w:t>Lovforslaget ændrer ikke på regle</w:t>
            </w:r>
            <w:r>
              <w:t>r</w:t>
            </w:r>
            <w:r>
              <w:t>ne for genanbringelse i udenlandske erhvervsejendomme, herunder at sådanne genanbringelser er skatt</w:t>
            </w:r>
            <w:r>
              <w:t>e</w:t>
            </w:r>
            <w:r>
              <w:t xml:space="preserve">pligtige både i tilfælde af afståelse og fraflytning. Der er derfor ikke indsat særlige overgangsregler for eksisterende genanbringelser, der herefter er omfattet af de generelle exitskatteregler, herunder </w:t>
            </w:r>
            <w:r w:rsidR="00FE0B65">
              <w:t xml:space="preserve">om </w:t>
            </w:r>
            <w:r>
              <w:t>a</w:t>
            </w:r>
            <w:r>
              <w:t>d</w:t>
            </w:r>
            <w:r>
              <w:t>gang til henstand.</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B027E1" w:rsidP="00B02772">
            <w:pPr>
              <w:pStyle w:val="Tabel-BrdtekstmedafstandptekstGaramond"/>
              <w:rPr>
                <w:i/>
              </w:rPr>
            </w:pPr>
            <w:r>
              <w:rPr>
                <w:i/>
              </w:rPr>
              <w:lastRenderedPageBreak/>
              <w:t>Dansk Byggeri</w:t>
            </w:r>
          </w:p>
        </w:tc>
        <w:tc>
          <w:tcPr>
            <w:tcW w:w="213" w:type="dxa"/>
            <w:shd w:val="clear" w:color="auto" w:fill="FFFFFF" w:themeFill="background1"/>
          </w:tcPr>
          <w:p w:rsidR="00815F28" w:rsidRPr="00B5346F" w:rsidRDefault="00815F28" w:rsidP="00B02772"/>
        </w:tc>
        <w:tc>
          <w:tcPr>
            <w:tcW w:w="3443" w:type="dxa"/>
            <w:tcBorders>
              <w:top w:val="single" w:sz="4" w:space="0" w:color="D1C5C3" w:themeColor="accent3"/>
              <w:bottom w:val="single" w:sz="4" w:space="0" w:color="D1C5C3" w:themeColor="accent3"/>
            </w:tcBorders>
            <w:shd w:val="clear" w:color="auto" w:fill="FBF9F9"/>
          </w:tcPr>
          <w:p w:rsidR="00CF1244" w:rsidRDefault="00CF1244" w:rsidP="00CF1244">
            <w:pPr>
              <w:pStyle w:val="Tabel-BrdtekstmedafstandptekstGaramond"/>
            </w:pPr>
            <w:r>
              <w:t>Dansk Byggeri støtte</w:t>
            </w:r>
            <w:r w:rsidR="00BB6CDB">
              <w:t>r</w:t>
            </w:r>
            <w:r>
              <w:t>, at Danmark retter ind og sikrer, at exitbeska</w:t>
            </w:r>
            <w:r>
              <w:t>t</w:t>
            </w:r>
            <w:r>
              <w:t>ningen både for selskaber og pe</w:t>
            </w:r>
            <w:r>
              <w:t>r</w:t>
            </w:r>
            <w:r>
              <w:t xml:space="preserve">soner bringes i overensstemmelsen med EU- retten. </w:t>
            </w:r>
          </w:p>
          <w:p w:rsidR="00CF1244" w:rsidRDefault="00CF1244" w:rsidP="00CF1244">
            <w:pPr>
              <w:pStyle w:val="Tabel-BrdtekstmedafstandptekstGaramond"/>
            </w:pPr>
          </w:p>
          <w:p w:rsidR="00815F28" w:rsidRPr="00B5346F" w:rsidRDefault="00CF1244" w:rsidP="00CF1244">
            <w:pPr>
              <w:pStyle w:val="Tabel-BrdtekstmedafstandptekstGaramond"/>
            </w:pPr>
            <w:r>
              <w:t>Har derudover i</w:t>
            </w:r>
            <w:r w:rsidR="00B027E1">
              <w:t>ngen bemærkni</w:t>
            </w:r>
            <w:r w:rsidR="00B027E1">
              <w:t>n</w:t>
            </w:r>
            <w:r w:rsidR="00B027E1">
              <w:t>ger</w:t>
            </w:r>
            <w:r w:rsidR="003A7413">
              <w:t>.</w:t>
            </w:r>
          </w:p>
        </w:tc>
        <w:tc>
          <w:tcPr>
            <w:tcW w:w="230" w:type="dxa"/>
            <w:shd w:val="clear" w:color="auto" w:fill="FFFFFF" w:themeFill="background1"/>
          </w:tcPr>
          <w:p w:rsidR="00815F28" w:rsidRPr="00B5346F" w:rsidRDefault="00815F28" w:rsidP="00B02772"/>
        </w:tc>
        <w:tc>
          <w:tcPr>
            <w:tcW w:w="3443" w:type="dxa"/>
            <w:tcBorders>
              <w:top w:val="single" w:sz="4" w:space="0" w:color="14143C" w:themeColor="accent1"/>
              <w:bottom w:val="single" w:sz="4" w:space="0" w:color="14143C" w:themeColor="accent1"/>
            </w:tcBorders>
            <w:shd w:val="clear" w:color="auto" w:fill="D2CED8"/>
          </w:tcPr>
          <w:p w:rsidR="00815F28" w:rsidRPr="00B5346F" w:rsidRDefault="00815F28" w:rsidP="00B02772">
            <w:pPr>
              <w:pStyle w:val="Tabel-BrdtekstmedafstandptekstGaramond"/>
            </w:pP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F40708" w:rsidP="00F40708">
            <w:pPr>
              <w:pStyle w:val="Tabel-BrdtekstmedafstandptekstGaramond"/>
              <w:rPr>
                <w:i/>
              </w:rPr>
            </w:pPr>
            <w:r>
              <w:rPr>
                <w:i/>
              </w:rPr>
              <w:t>Dansk Energi</w:t>
            </w:r>
          </w:p>
        </w:tc>
        <w:tc>
          <w:tcPr>
            <w:tcW w:w="213" w:type="dxa"/>
            <w:shd w:val="clear" w:color="auto" w:fill="FFFFFF" w:themeFill="background1"/>
          </w:tcPr>
          <w:p w:rsidR="00815F28" w:rsidRPr="00B5346F" w:rsidRDefault="00815F28" w:rsidP="00B02772"/>
        </w:tc>
        <w:tc>
          <w:tcPr>
            <w:tcW w:w="3443" w:type="dxa"/>
            <w:tcBorders>
              <w:top w:val="single" w:sz="4" w:space="0" w:color="D1C5C3" w:themeColor="accent3"/>
              <w:bottom w:val="single" w:sz="4" w:space="0" w:color="D1C5C3" w:themeColor="accent3"/>
            </w:tcBorders>
            <w:shd w:val="clear" w:color="auto" w:fill="FBF9F9"/>
          </w:tcPr>
          <w:p w:rsidR="00126D75" w:rsidRPr="000137A1" w:rsidRDefault="00126D75" w:rsidP="00126D75">
            <w:pPr>
              <w:pStyle w:val="Tabel-BrdtekstmedafstandptekstGaramond"/>
              <w:rPr>
                <w:u w:val="single"/>
              </w:rPr>
            </w:pPr>
            <w:r w:rsidRPr="000137A1">
              <w:rPr>
                <w:u w:val="single"/>
              </w:rPr>
              <w:t>Fjernvarmeværker</w:t>
            </w:r>
            <w:r w:rsidR="000137A1" w:rsidRPr="000137A1">
              <w:rPr>
                <w:u w:val="single"/>
              </w:rPr>
              <w:t xml:space="preserve"> og sideordnede aktiviteter</w:t>
            </w:r>
          </w:p>
          <w:p w:rsidR="00815F28" w:rsidRPr="00B5346F" w:rsidRDefault="000137A1" w:rsidP="00682E5D">
            <w:pPr>
              <w:pStyle w:val="Tabel-BrdtekstmedafstandptekstGaramond"/>
            </w:pPr>
            <w:r>
              <w:lastRenderedPageBreak/>
              <w:t>Dansk Energi hilser forslaget ve</w:t>
            </w:r>
            <w:r>
              <w:t>l</w:t>
            </w:r>
            <w:r>
              <w:t>komment, men mener at det burde have afventet afslutningen af det igangsatte eftersyn af fjernvarmer</w:t>
            </w:r>
            <w:r>
              <w:t>e</w:t>
            </w:r>
            <w:r>
              <w:t>guleringen</w:t>
            </w:r>
            <w:r w:rsidR="00682E5D">
              <w:t>.</w:t>
            </w:r>
          </w:p>
        </w:tc>
        <w:tc>
          <w:tcPr>
            <w:tcW w:w="230" w:type="dxa"/>
            <w:shd w:val="clear" w:color="auto" w:fill="FFFFFF" w:themeFill="background1"/>
          </w:tcPr>
          <w:p w:rsidR="00815F28" w:rsidRPr="00B5346F" w:rsidRDefault="00815F28" w:rsidP="00B02772"/>
        </w:tc>
        <w:tc>
          <w:tcPr>
            <w:tcW w:w="3443" w:type="dxa"/>
            <w:tcBorders>
              <w:top w:val="single" w:sz="4" w:space="0" w:color="14143C" w:themeColor="accent1"/>
              <w:bottom w:val="single" w:sz="4" w:space="0" w:color="14143C" w:themeColor="accent1"/>
            </w:tcBorders>
            <w:shd w:val="clear" w:color="auto" w:fill="D2CED8"/>
          </w:tcPr>
          <w:p w:rsidR="00815F28" w:rsidRDefault="00815F28" w:rsidP="00B02772">
            <w:pPr>
              <w:pStyle w:val="Tabel-BrdtekstmedafstandptekstGaramond"/>
            </w:pPr>
          </w:p>
          <w:p w:rsidR="000137A1" w:rsidRDefault="000137A1" w:rsidP="00B02772">
            <w:pPr>
              <w:pStyle w:val="Tabel-BrdtekstmedafstandptekstGaramond"/>
            </w:pPr>
          </w:p>
          <w:p w:rsidR="000137A1" w:rsidRPr="00B5346F" w:rsidRDefault="000137A1" w:rsidP="000137A1">
            <w:pPr>
              <w:pStyle w:val="Tabel-BrdtekstmedafstandptekstGaramond"/>
            </w:pPr>
            <w:r>
              <w:lastRenderedPageBreak/>
              <w:t>Vurderingen har været, at behovet for at kunne påtage sig de såkaldt sideordnede aktiviteter uden at m</w:t>
            </w:r>
            <w:r>
              <w:t>i</w:t>
            </w:r>
            <w:r>
              <w:t>ste skattefriheden for kerneaktivit</w:t>
            </w:r>
            <w:r>
              <w:t>e</w:t>
            </w:r>
            <w:r>
              <w:t>ten, allerede er så stort, at en lø</w:t>
            </w:r>
            <w:r>
              <w:t>s</w:t>
            </w:r>
            <w:r>
              <w:t xml:space="preserve">ning ikke bør afvente afslutningen af den igangværende analyse. </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600E3E" w:rsidRPr="00600E3E" w:rsidRDefault="00F40708" w:rsidP="00815F28">
            <w:pPr>
              <w:pStyle w:val="Tabel-BrdtekstmedafstandptekstGaramond"/>
              <w:rPr>
                <w:i/>
              </w:rPr>
            </w:pPr>
            <w:r>
              <w:rPr>
                <w:i/>
              </w:rPr>
              <w:lastRenderedPageBreak/>
              <w:t>Dansk Erhverv</w:t>
            </w:r>
          </w:p>
        </w:tc>
        <w:tc>
          <w:tcPr>
            <w:tcW w:w="213" w:type="dxa"/>
            <w:shd w:val="clear" w:color="auto" w:fill="FFFFFF" w:themeFill="background1"/>
          </w:tcPr>
          <w:p w:rsidR="00600E3E" w:rsidRPr="00B5346F" w:rsidRDefault="00600E3E" w:rsidP="00B02772"/>
        </w:tc>
        <w:tc>
          <w:tcPr>
            <w:tcW w:w="3443" w:type="dxa"/>
            <w:tcBorders>
              <w:top w:val="single" w:sz="4" w:space="0" w:color="D1C5C3" w:themeColor="accent3"/>
              <w:bottom w:val="single" w:sz="4" w:space="0" w:color="D1C5C3" w:themeColor="accent3"/>
            </w:tcBorders>
            <w:shd w:val="clear" w:color="auto" w:fill="FBF9F9"/>
          </w:tcPr>
          <w:p w:rsidR="00600E3E" w:rsidRDefault="00126D75" w:rsidP="00B02772">
            <w:pPr>
              <w:pStyle w:val="Tabel-BrdtekstmedafstandptekstGaramond"/>
              <w:rPr>
                <w:u w:val="single"/>
              </w:rPr>
            </w:pPr>
            <w:r w:rsidRPr="00126D75">
              <w:rPr>
                <w:u w:val="single"/>
              </w:rPr>
              <w:t>Exit</w:t>
            </w:r>
            <w:r w:rsidR="00DE55D3">
              <w:rPr>
                <w:u w:val="single"/>
              </w:rPr>
              <w:t>beskatning</w:t>
            </w:r>
          </w:p>
          <w:p w:rsidR="00126D75" w:rsidRDefault="00AA1734" w:rsidP="00B02772">
            <w:pPr>
              <w:pStyle w:val="Tabel-BrdtekstmedafstandptekstGaramond"/>
            </w:pPr>
            <w:r>
              <w:t>Dansk Erhverv (DE) er overordnet imod exitbeskatningsregler, men mener at den foreslåede model er bedre end den tidligere. DE mener, at en henstandsordning skal være tidsubegrænset. DE mener yderl</w:t>
            </w:r>
            <w:r>
              <w:t>i</w:t>
            </w:r>
            <w:r>
              <w:t>gere, at forslaget burde udvides til at omfatte alle lande, som Danmark har en dobbeltbeskatningsoveren</w:t>
            </w:r>
            <w:r>
              <w:t>s</w:t>
            </w:r>
            <w:r>
              <w:t>komst med</w:t>
            </w:r>
            <w:r w:rsidR="00E97501">
              <w:t>.</w:t>
            </w:r>
            <w:r>
              <w:t xml:space="preserve"> </w:t>
            </w:r>
          </w:p>
          <w:p w:rsidR="00126D75" w:rsidRDefault="00126D75"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F0E21" w:rsidRDefault="001F0E21" w:rsidP="00B02772">
            <w:pPr>
              <w:pStyle w:val="Tabel-BrdtekstmedafstandptekstGaramond"/>
            </w:pPr>
          </w:p>
          <w:p w:rsidR="00126D75" w:rsidRPr="00126D75" w:rsidRDefault="00126D75" w:rsidP="00B02772">
            <w:pPr>
              <w:pStyle w:val="Tabel-BrdtekstmedafstandptekstGaramond"/>
              <w:rPr>
                <w:u w:val="single"/>
              </w:rPr>
            </w:pPr>
            <w:r w:rsidRPr="00126D75">
              <w:rPr>
                <w:u w:val="single"/>
              </w:rPr>
              <w:t>Øvrige forslag</w:t>
            </w:r>
          </w:p>
          <w:p w:rsidR="00126D75" w:rsidRPr="00126D75" w:rsidRDefault="00126D75" w:rsidP="00B02772">
            <w:pPr>
              <w:pStyle w:val="Tabel-BrdtekstmedafstandptekstGaramond"/>
            </w:pPr>
            <w:r>
              <w:t>Ingen bemærkninger.</w:t>
            </w:r>
          </w:p>
        </w:tc>
        <w:tc>
          <w:tcPr>
            <w:tcW w:w="230" w:type="dxa"/>
            <w:shd w:val="clear" w:color="auto" w:fill="FFFFFF" w:themeFill="background1"/>
          </w:tcPr>
          <w:p w:rsidR="00600E3E" w:rsidRPr="00B5346F" w:rsidRDefault="00600E3E" w:rsidP="00B02772"/>
        </w:tc>
        <w:tc>
          <w:tcPr>
            <w:tcW w:w="3443" w:type="dxa"/>
            <w:tcBorders>
              <w:top w:val="single" w:sz="4" w:space="0" w:color="14143C" w:themeColor="accent1"/>
              <w:bottom w:val="single" w:sz="4" w:space="0" w:color="14143C" w:themeColor="accent1"/>
            </w:tcBorders>
            <w:shd w:val="clear" w:color="auto" w:fill="D2CED8"/>
          </w:tcPr>
          <w:p w:rsidR="00600E3E" w:rsidRDefault="00600E3E" w:rsidP="00B02772">
            <w:pPr>
              <w:pStyle w:val="Tabel-BrdtekstmedafstandptekstGaramond"/>
            </w:pPr>
          </w:p>
          <w:p w:rsidR="001F0E21" w:rsidRDefault="00AA1734" w:rsidP="00E97501">
            <w:pPr>
              <w:pStyle w:val="Tabel-BrdtekstmedafstandptekstGaramond"/>
            </w:pPr>
            <w:r>
              <w:t>I forhold til den tidsmæssige u</w:t>
            </w:r>
            <w:r>
              <w:t>d</w:t>
            </w:r>
            <w:r>
              <w:t>strækning af henstandsordningen er perioden på 7 år valgt for at sikre, at exitskatten bliver betalt inden for en rimelig tidshorisont</w:t>
            </w:r>
            <w:r w:rsidR="00E97501">
              <w:t>, og at der samtidig ydes en ri</w:t>
            </w:r>
            <w:r w:rsidR="00FE0B65">
              <w:t>m</w:t>
            </w:r>
            <w:r w:rsidR="00E97501">
              <w:t>elig betaling</w:t>
            </w:r>
            <w:r w:rsidR="00E97501">
              <w:t>s</w:t>
            </w:r>
            <w:r w:rsidR="00E97501">
              <w:t>udskydelse. De 7 år er valgt, fordi perioden svarer til afskrivningsp</w:t>
            </w:r>
            <w:r w:rsidR="00E97501">
              <w:t>e</w:t>
            </w:r>
            <w:r w:rsidR="00E97501">
              <w:t>rioden for immaterielle aktiver og tilnærmelsesvist til afskrivningsp</w:t>
            </w:r>
            <w:r w:rsidR="00E97501">
              <w:t>e</w:t>
            </w:r>
            <w:r w:rsidR="00E97501">
              <w:t>rioden for driftsmidler, der er o</w:t>
            </w:r>
            <w:r w:rsidR="00E97501">
              <w:t>m</w:t>
            </w:r>
            <w:r w:rsidR="00E97501">
              <w:t>fattet af afskrivningslovens regler om saldoafskrivning, som er den type af aktiver, der primært må fo</w:t>
            </w:r>
            <w:r w:rsidR="00E97501">
              <w:t>r</w:t>
            </w:r>
            <w:r w:rsidR="00E97501">
              <w:t>ventes henført til den selvstændigt erhvervsdrivendes virksomhed, herunder faste driftssted i et land, der er medlem af EU/EØS. De 7 år svarer tillige til den henstandsp</w:t>
            </w:r>
            <w:r w:rsidR="00E97501">
              <w:t>e</w:t>
            </w:r>
            <w:r w:rsidR="00E97501">
              <w:t>riode, der gælder i forhold til se</w:t>
            </w:r>
            <w:r w:rsidR="00E97501">
              <w:t>l</w:t>
            </w:r>
            <w:r w:rsidR="00E97501">
              <w:t xml:space="preserve">skaber, der er blevet undergivet en exitbeskatning. </w:t>
            </w:r>
            <w:r w:rsidR="001F0E21">
              <w:t>Endelig skal b</w:t>
            </w:r>
            <w:r w:rsidR="001F0E21">
              <w:t>e</w:t>
            </w:r>
            <w:r w:rsidR="001F0E21">
              <w:t>mærkes, at EU-Domstolen ved dom af 23. januar 2014 i sag C-164/12, der omhandlede exitb</w:t>
            </w:r>
            <w:r w:rsidR="001F0E21">
              <w:t>e</w:t>
            </w:r>
            <w:r w:rsidR="001F0E21">
              <w:t>skatning af et selskab, har udtalt, at en ratebetaling over 5 år af den skat, der skal betales, inden den faktiske realisering af de latente k</w:t>
            </w:r>
            <w:r w:rsidR="001F0E21">
              <w:t>a</w:t>
            </w:r>
            <w:r w:rsidR="001F0E21">
              <w:t xml:space="preserve">pitalgevinster, udgør en passende og proportional foranstaltning. </w:t>
            </w:r>
          </w:p>
          <w:p w:rsidR="001F0E21" w:rsidRDefault="001F0E21" w:rsidP="00E97501">
            <w:pPr>
              <w:pStyle w:val="Tabel-BrdtekstmedafstandptekstGaramond"/>
            </w:pPr>
          </w:p>
          <w:p w:rsidR="00AA1734" w:rsidRPr="00B5346F" w:rsidRDefault="001F0E21" w:rsidP="001F0E21">
            <w:pPr>
              <w:pStyle w:val="Tabel-BrdtekstmedafstandptekstGaramond"/>
            </w:pPr>
            <w:r>
              <w:t>Forslaget om at udvide henstand</w:t>
            </w:r>
            <w:r>
              <w:t>s</w:t>
            </w:r>
            <w:r>
              <w:t>ordningen til også at omfatte</w:t>
            </w:r>
            <w:r w:rsidR="00682E5D">
              <w:t xml:space="preserve"> </w:t>
            </w:r>
            <w:r>
              <w:t>fly</w:t>
            </w:r>
            <w:r>
              <w:t>t</w:t>
            </w:r>
            <w:r>
              <w:lastRenderedPageBreak/>
              <w:t>ninger mv. til lande, som Danmark har indgået en dobbeltbeskatning</w:t>
            </w:r>
            <w:r>
              <w:t>s</w:t>
            </w:r>
            <w:r>
              <w:t>overenskomst med, er ikke imød</w:t>
            </w:r>
            <w:r>
              <w:t>e</w:t>
            </w:r>
            <w:r>
              <w:t>kommet, da EU-dommene statu</w:t>
            </w:r>
            <w:r>
              <w:t>e</w:t>
            </w:r>
            <w:r>
              <w:t>rer, at da der er tale om den fri etableringsret, er det alene i forhold til flytninger mv. til andre EU/EØS-land, at reglerne om o</w:t>
            </w:r>
            <w:r>
              <w:t>p</w:t>
            </w:r>
            <w:r>
              <w:t xml:space="preserve">krævning af exitskatten skal ændres.  </w:t>
            </w:r>
            <w:r w:rsidR="00AA1734">
              <w:t xml:space="preserve"> </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Pr="00600E3E" w:rsidRDefault="00F40708" w:rsidP="00815F28">
            <w:pPr>
              <w:pStyle w:val="Tabel-BrdtekstmedafstandptekstGaramond"/>
              <w:rPr>
                <w:i/>
              </w:rPr>
            </w:pPr>
            <w:r>
              <w:rPr>
                <w:i/>
              </w:rPr>
              <w:lastRenderedPageBreak/>
              <w:t>Dansk Fjernvarme</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126D75" w:rsidRPr="00341957" w:rsidRDefault="00126D75" w:rsidP="00126D75">
            <w:pPr>
              <w:pStyle w:val="Tabel-BrdtekstmedafstandptekstGaramond"/>
              <w:rPr>
                <w:u w:val="single"/>
              </w:rPr>
            </w:pPr>
            <w:r w:rsidRPr="00341957">
              <w:rPr>
                <w:u w:val="single"/>
              </w:rPr>
              <w:t>Fjernvarmeværker</w:t>
            </w:r>
            <w:r w:rsidR="00341957" w:rsidRPr="00341957">
              <w:rPr>
                <w:u w:val="single"/>
              </w:rPr>
              <w:t xml:space="preserve"> og sideordnede aktiviteter</w:t>
            </w:r>
          </w:p>
          <w:p w:rsidR="00F40708" w:rsidRDefault="00341957" w:rsidP="00341957">
            <w:pPr>
              <w:pStyle w:val="Tabel-BrdtekstmedafstandptekstGaramond"/>
            </w:pPr>
            <w:r>
              <w:t xml:space="preserve">Dansk Fjernvarme anfører, at der mangler en præcisering af rammen for de aktiviteter, der kan udskilles til et skattepligtigt datterselskab. </w:t>
            </w:r>
          </w:p>
          <w:p w:rsidR="00341957" w:rsidRDefault="00341957" w:rsidP="00341957">
            <w:pPr>
              <w:pStyle w:val="Tabel-BrdtekstmedafstandptekstGaramond"/>
            </w:pPr>
          </w:p>
          <w:p w:rsidR="00341957" w:rsidRDefault="00341957" w:rsidP="008F2444">
            <w:pPr>
              <w:pStyle w:val="Tabel-BrdtekstmedafstandptekstGaramond"/>
            </w:pPr>
            <w:r>
              <w:t>Dansk Fjernvarme antager, at også andre aktiviteter end aktiviteter, der er omfattet af varmeforsyningsl</w:t>
            </w:r>
            <w:r>
              <w:t>o</w:t>
            </w:r>
            <w:r>
              <w:t xml:space="preserve">ven, så som </w:t>
            </w:r>
            <w:r w:rsidR="008F2444">
              <w:t xml:space="preserve">fx </w:t>
            </w:r>
            <w:r>
              <w:t>levering af fjernva</w:t>
            </w:r>
            <w:r>
              <w:t>r</w:t>
            </w:r>
            <w:r>
              <w:t>me til procesformål</w:t>
            </w:r>
            <w:r w:rsidR="008F2444">
              <w:t xml:space="preserve"> og </w:t>
            </w:r>
            <w:r>
              <w:t xml:space="preserve">udlejning af </w:t>
            </w:r>
            <w:r w:rsidR="008F2444">
              <w:t xml:space="preserve">lokaler og jord kan udskilles i et skattepligtigt datterselskab. </w:t>
            </w:r>
          </w:p>
          <w:p w:rsidR="008F2444" w:rsidRDefault="008F2444" w:rsidP="008F2444">
            <w:pPr>
              <w:pStyle w:val="Tabel-BrdtekstmedafstandptekstGaramond"/>
            </w:pPr>
          </w:p>
          <w:p w:rsidR="00F3325E" w:rsidRDefault="00F3325E" w:rsidP="008F2444">
            <w:pPr>
              <w:pStyle w:val="Tabel-BrdtekstmedafstandptekstGaramond"/>
            </w:pPr>
          </w:p>
          <w:p w:rsidR="00F3325E" w:rsidRDefault="00F3325E" w:rsidP="008F2444">
            <w:pPr>
              <w:pStyle w:val="Tabel-BrdtekstmedafstandptekstGaramond"/>
            </w:pPr>
          </w:p>
          <w:p w:rsidR="00F3325E" w:rsidRDefault="00F3325E" w:rsidP="008F2444">
            <w:pPr>
              <w:pStyle w:val="Tabel-BrdtekstmedafstandptekstGaramond"/>
            </w:pPr>
          </w:p>
          <w:p w:rsidR="00F3325E" w:rsidRDefault="00F3325E" w:rsidP="008F2444">
            <w:pPr>
              <w:pStyle w:val="Tabel-BrdtekstmedafstandptekstGaramond"/>
            </w:pPr>
          </w:p>
          <w:p w:rsidR="00F3325E" w:rsidRDefault="00F3325E" w:rsidP="008F2444">
            <w:pPr>
              <w:pStyle w:val="Tabel-BrdtekstmedafstandptekstGaramond"/>
            </w:pPr>
          </w:p>
          <w:p w:rsidR="00F3325E" w:rsidRDefault="00F3325E" w:rsidP="008F2444">
            <w:pPr>
              <w:pStyle w:val="Tabel-BrdtekstmedafstandptekstGaramond"/>
            </w:pPr>
          </w:p>
          <w:p w:rsidR="008F2444" w:rsidRDefault="008F2444" w:rsidP="008F2444">
            <w:pPr>
              <w:pStyle w:val="Tabel-BrdtekstmedafstandptekstGaramond"/>
            </w:pPr>
            <w:r>
              <w:t>Endvidere opfordrer Dansk Fjer</w:t>
            </w:r>
            <w:r>
              <w:t>n</w:t>
            </w:r>
            <w:r>
              <w:t>varme til, at fjernvarmeværker, som leverer sideordnede aktiviteter til en omkostningsbestemt pris, slet ikke skal være omfattet af en skattepligt.</w:t>
            </w:r>
          </w:p>
          <w:p w:rsidR="008F2444" w:rsidRDefault="008F2444" w:rsidP="008F2444">
            <w:pPr>
              <w:pStyle w:val="Tabel-BrdtekstmedafstandptekstGaramond"/>
            </w:pPr>
          </w:p>
          <w:p w:rsidR="008F2444" w:rsidRPr="00B5346F" w:rsidRDefault="008F2444" w:rsidP="008F2444">
            <w:pPr>
              <w:pStyle w:val="Tabel-BrdtekstmedafstandptekstGaramond"/>
            </w:pPr>
            <w:r>
              <w:t xml:space="preserve">Endelig mener Dansk Fjernvarme, </w:t>
            </w:r>
            <w:r>
              <w:lastRenderedPageBreak/>
              <w:t>at det bør overvejes, om det er hensigtsmæssigt, at fjernvarmevæ</w:t>
            </w:r>
            <w:r>
              <w:t>r</w:t>
            </w:r>
            <w:r>
              <w:t>ker, d</w:t>
            </w:r>
            <w:r w:rsidR="00F3325E">
              <w:t>e</w:t>
            </w:r>
            <w:r>
              <w:t>r også producere el, er ska</w:t>
            </w:r>
            <w:r>
              <w:t>t</w:t>
            </w:r>
            <w:r>
              <w:t xml:space="preserve">tepligtige af el-indtægter, henset </w:t>
            </w:r>
            <w:r w:rsidR="00682E5D">
              <w:t xml:space="preserve">til </w:t>
            </w:r>
            <w:r>
              <w:t xml:space="preserve">at fjernvarmeværkets indkomst som helhed er omfattet af hvile-i-sig-selv-princippet.  </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F40708" w:rsidRDefault="00F40708" w:rsidP="00B02772">
            <w:pPr>
              <w:pStyle w:val="Tabel-BrdtekstmedafstandptekstGaramond"/>
            </w:pPr>
          </w:p>
          <w:p w:rsidR="008F2444" w:rsidRDefault="008F2444" w:rsidP="00B02772">
            <w:pPr>
              <w:pStyle w:val="Tabel-BrdtekstmedafstandptekstGaramond"/>
            </w:pPr>
          </w:p>
          <w:p w:rsidR="008F2444" w:rsidRDefault="008F2444" w:rsidP="00F3325E">
            <w:pPr>
              <w:pStyle w:val="Tabel-BrdtekstmedafstandptekstGaramond"/>
            </w:pPr>
            <w:r>
              <w:t>Skattepligtsbestemmelsen er u</w:t>
            </w:r>
            <w:r>
              <w:t>d</w:t>
            </w:r>
            <w:r>
              <w:t xml:space="preserve">formet således, at </w:t>
            </w:r>
            <w:r w:rsidR="00203735">
              <w:t xml:space="preserve">et </w:t>
            </w:r>
            <w:r>
              <w:t>fjernvarm</w:t>
            </w:r>
            <w:r>
              <w:t>e</w:t>
            </w:r>
            <w:r>
              <w:t>værk bevarer skattefrihed for in</w:t>
            </w:r>
            <w:r>
              <w:t>d</w:t>
            </w:r>
            <w:r>
              <w:t>komst fra kerneaktiviteten – pr</w:t>
            </w:r>
            <w:r>
              <w:t>o</w:t>
            </w:r>
            <w:r>
              <w:t>duktion af v</w:t>
            </w:r>
            <w:r w:rsidR="00203735">
              <w:t xml:space="preserve">arme – forudsat at eventuelle </w:t>
            </w:r>
            <w:r w:rsidR="00F3325E">
              <w:t xml:space="preserve">andre </w:t>
            </w:r>
            <w:r w:rsidR="00203735">
              <w:t>aktiviteter</w:t>
            </w:r>
            <w:r w:rsidR="00F3325E">
              <w:t xml:space="preserve"> ud over kerneaktiviteten udøves i et skatt</w:t>
            </w:r>
            <w:r w:rsidR="00F3325E">
              <w:t>e</w:t>
            </w:r>
            <w:r w:rsidR="00F3325E">
              <w:t>pligtigt datterselskab. Skatteb</w:t>
            </w:r>
            <w:r w:rsidR="00F3325E">
              <w:t>e</w:t>
            </w:r>
            <w:r w:rsidR="00F3325E">
              <w:t>stemmelsen regulerer ikke, hvilke andre aktiviteter et fjernvarmeværk må udøve og sætter dermed heller ikke begrænsninger i forhold til k</w:t>
            </w:r>
            <w:r w:rsidR="00F3325E">
              <w:t>a</w:t>
            </w:r>
            <w:r w:rsidR="00F3325E">
              <w:t>rakteren af de aktiviteter, der kan udøves i datterselskabet. Også a</w:t>
            </w:r>
            <w:r w:rsidR="00F3325E">
              <w:t>n</w:t>
            </w:r>
            <w:r w:rsidR="00F3325E">
              <w:t>dre aktiviteter end de aktiviteter, der er omfattet af varmeforsyning</w:t>
            </w:r>
            <w:r w:rsidR="00F3325E">
              <w:t>s</w:t>
            </w:r>
            <w:r w:rsidR="00F3325E">
              <w:t>loven</w:t>
            </w:r>
            <w:r w:rsidR="00FE0B65">
              <w:t>,</w:t>
            </w:r>
            <w:r w:rsidR="00F3325E">
              <w:t xml:space="preserve"> vil derfor efter skattereglerne kunne ligge i datterselskabet. </w:t>
            </w:r>
          </w:p>
          <w:p w:rsidR="00F3325E" w:rsidRDefault="00F3325E" w:rsidP="00F3325E">
            <w:pPr>
              <w:pStyle w:val="Tabel-BrdtekstmedafstandptekstGaramond"/>
            </w:pPr>
          </w:p>
          <w:p w:rsidR="00F3325E" w:rsidRDefault="00F3325E" w:rsidP="00F3325E">
            <w:pPr>
              <w:pStyle w:val="Tabel-BrdtekstmedafstandptekstGaramond"/>
            </w:pPr>
            <w:r>
              <w:t>Det ligger uden for lovforslagets formål at indføre en udvidelse af den eksisterende skattefritagelse</w:t>
            </w:r>
            <w:r>
              <w:t>s</w:t>
            </w:r>
            <w:r>
              <w:t>bestemmelse for fjernvarmeværker til også at omfatte værker, der har andre funktioner end den rene pr</w:t>
            </w:r>
            <w:r>
              <w:t>o</w:t>
            </w:r>
            <w:r>
              <w:t>duktion og levering af fjernvarme.</w:t>
            </w:r>
          </w:p>
          <w:p w:rsidR="00F3325E" w:rsidRDefault="00F3325E" w:rsidP="00F3325E">
            <w:pPr>
              <w:pStyle w:val="Tabel-BrdtekstmedafstandptekstGaramond"/>
            </w:pPr>
          </w:p>
          <w:p w:rsidR="00682E5D" w:rsidRPr="00B5346F" w:rsidRDefault="00682E5D" w:rsidP="00F3325E">
            <w:pPr>
              <w:pStyle w:val="Tabel-BrdtekstmedafstandptekstGaramond"/>
            </w:pPr>
            <w:r>
              <w:t>Der henvises i øvrigt til komment</w:t>
            </w:r>
            <w:r>
              <w:t>a</w:t>
            </w:r>
            <w:r>
              <w:t>ren til Advokatfirmaet Energi &amp; Miljø.</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Pr="00600E3E" w:rsidRDefault="00F40708" w:rsidP="00815F28">
            <w:pPr>
              <w:pStyle w:val="Tabel-BrdtekstmedafstandptekstGaramond"/>
              <w:rPr>
                <w:i/>
              </w:rPr>
            </w:pPr>
            <w:r>
              <w:rPr>
                <w:i/>
              </w:rPr>
              <w:lastRenderedPageBreak/>
              <w:t>DI</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F40708" w:rsidRPr="00DE55D3" w:rsidRDefault="00DE55D3" w:rsidP="00B02772">
            <w:pPr>
              <w:pStyle w:val="Tabel-BrdtekstmedafstandptekstGaramond"/>
              <w:rPr>
                <w:u w:val="single"/>
              </w:rPr>
            </w:pPr>
            <w:r w:rsidRPr="00DE55D3">
              <w:rPr>
                <w:u w:val="single"/>
              </w:rPr>
              <w:t>Fysiske personer og exitskat</w:t>
            </w:r>
          </w:p>
          <w:p w:rsidR="00DE55D3" w:rsidRDefault="003A7413" w:rsidP="00B02772">
            <w:pPr>
              <w:pStyle w:val="Tabel-BrdtekstmedafstandptekstGaramond"/>
            </w:pPr>
            <w:r>
              <w:t>DI anerkender, at forslaget om en henstandsordning samlet set er en forbedring af reglerne, men mener, at henstandsordning</w:t>
            </w:r>
            <w:r w:rsidR="00106865">
              <w:t>en</w:t>
            </w:r>
            <w:r>
              <w:t xml:space="preserve"> i højere grad burde have været knyttet til det fa</w:t>
            </w:r>
            <w:r>
              <w:t>k</w:t>
            </w:r>
            <w:r>
              <w:t>tiske realisationstidspunkt. Endv</w:t>
            </w:r>
            <w:r>
              <w:t>i</w:t>
            </w:r>
            <w:r>
              <w:t>dere anses mindstesatsen for fo</w:t>
            </w:r>
            <w:r>
              <w:t>r</w:t>
            </w:r>
            <w:r>
              <w:t xml:space="preserve">rentning af henstandssaldoen for unødig byrdefuld.   </w:t>
            </w:r>
          </w:p>
          <w:p w:rsidR="00DE55D3" w:rsidRDefault="00DE55D3" w:rsidP="00B02772">
            <w:pPr>
              <w:pStyle w:val="Tabel-BrdtekstmedafstandptekstGaramond"/>
            </w:pPr>
          </w:p>
          <w:p w:rsidR="00DE55D3" w:rsidRPr="00DE55D3" w:rsidRDefault="00DE55D3" w:rsidP="00B02772">
            <w:pPr>
              <w:pStyle w:val="Tabel-BrdtekstmedafstandptekstGaramond"/>
              <w:rPr>
                <w:u w:val="single"/>
              </w:rPr>
            </w:pPr>
            <w:r w:rsidRPr="00DE55D3">
              <w:rPr>
                <w:u w:val="single"/>
              </w:rPr>
              <w:t>Rentefradragsbegrænsningsreglerne</w:t>
            </w:r>
          </w:p>
          <w:p w:rsidR="00AB221F" w:rsidRDefault="00AB221F" w:rsidP="00AB221F">
            <w:pPr>
              <w:pStyle w:val="Tabel-BrdtekstmedafstandptekstGaramond"/>
            </w:pPr>
            <w:r>
              <w:t>I forbindelse med, at rentefr</w:t>
            </w:r>
            <w:r>
              <w:t>a</w:t>
            </w:r>
            <w:r>
              <w:t>dragsbegrænsningsreglerne nu er foreslået ændret for at opnå mere hensigtsmæssige skatteregler for velkonsoliderede koncerner, er det DI’s opfattelse, at man mere ove</w:t>
            </w:r>
            <w:r>
              <w:t>r</w:t>
            </w:r>
            <w:r>
              <w:t>ordnet bør se på og revurdere, hvilken adfærd man med disse re</w:t>
            </w:r>
            <w:r>
              <w:t>g</w:t>
            </w:r>
            <w:r>
              <w:t>ler søger at begrænse.</w:t>
            </w:r>
          </w:p>
          <w:p w:rsidR="00AB221F" w:rsidRDefault="00AB221F" w:rsidP="00AB221F">
            <w:pPr>
              <w:pStyle w:val="Tabel-BrdtekstmedafstandptekstGaramond"/>
            </w:pPr>
          </w:p>
          <w:p w:rsidR="00AB221F" w:rsidRDefault="00AB221F" w:rsidP="00AB221F">
            <w:pPr>
              <w:pStyle w:val="Tabel-BrdtekstmedafstandptekstGaramond"/>
            </w:pPr>
            <w:r>
              <w:t>Det har efterfølgende vist sig, at de nugældende regler også rammer virksomheder med en almindelig grad af fremmedfinansiering, hvi</w:t>
            </w:r>
            <w:r>
              <w:t>l</w:t>
            </w:r>
            <w:r>
              <w:t>ket næppe var det oprindelige fo</w:t>
            </w:r>
            <w:r>
              <w:t>r</w:t>
            </w:r>
            <w:r>
              <w:t>mål. Når flere højt ratede virkso</w:t>
            </w:r>
            <w:r>
              <w:t>m</w:t>
            </w:r>
            <w:r>
              <w:t>heder med en normalt grad af fremmedfinansiering rammes af disse regler</w:t>
            </w:r>
            <w:r w:rsidR="00106865">
              <w:t>,</w:t>
            </w:r>
            <w:r>
              <w:t xml:space="preserve"> skyldes det bl.a., at den rente, de finansierer sig ved på de internationale kreditmarkeder, er noget højere end den rente, der lægges til grund ved beregningen af </w:t>
            </w:r>
            <w:r>
              <w:lastRenderedPageBreak/>
              <w:t>det tilladte skattemæssige rentefr</w:t>
            </w:r>
            <w:r>
              <w:t>a</w:t>
            </w:r>
            <w:r>
              <w:t>drag.</w:t>
            </w:r>
          </w:p>
          <w:p w:rsidR="00AB221F" w:rsidRDefault="00AB221F" w:rsidP="00AB221F">
            <w:pPr>
              <w:pStyle w:val="Tabel-BrdtekstmedafstandptekstGaramond"/>
            </w:pPr>
          </w:p>
          <w:p w:rsidR="00357278" w:rsidRDefault="00357278" w:rsidP="00AB221F">
            <w:pPr>
              <w:pStyle w:val="Tabel-BrdtekstmedafstandptekstGaramond"/>
            </w:pPr>
          </w:p>
          <w:p w:rsidR="00357278" w:rsidRDefault="00357278" w:rsidP="00AB221F">
            <w:pPr>
              <w:pStyle w:val="Tabel-BrdtekstmedafstandptekstGaramond"/>
            </w:pPr>
          </w:p>
          <w:p w:rsidR="00357278" w:rsidRDefault="00357278" w:rsidP="00AB221F">
            <w:pPr>
              <w:pStyle w:val="Tabel-BrdtekstmedafstandptekstGaramond"/>
            </w:pPr>
          </w:p>
          <w:p w:rsidR="00357278" w:rsidRDefault="00357278" w:rsidP="00AB221F">
            <w:pPr>
              <w:pStyle w:val="Tabel-BrdtekstmedafstandptekstGaramond"/>
            </w:pPr>
          </w:p>
          <w:p w:rsidR="00357278" w:rsidRDefault="00357278" w:rsidP="00AB221F">
            <w:pPr>
              <w:pStyle w:val="Tabel-BrdtekstmedafstandptekstGaramond"/>
            </w:pPr>
          </w:p>
          <w:p w:rsidR="00DE55D3" w:rsidRDefault="00DE55D3" w:rsidP="00B02772">
            <w:pPr>
              <w:pStyle w:val="Tabel-BrdtekstmedafstandptekstGaramond"/>
              <w:rPr>
                <w:u w:val="single"/>
              </w:rPr>
            </w:pPr>
            <w:r w:rsidRPr="00DE55D3">
              <w:rPr>
                <w:u w:val="single"/>
              </w:rPr>
              <w:t>Moder-/datterselskabsdirektivet</w:t>
            </w:r>
          </w:p>
          <w:p w:rsidR="00DE55D3" w:rsidRDefault="00DE55D3" w:rsidP="00B02772">
            <w:pPr>
              <w:pStyle w:val="Tabel-BrdtekstmedafstandptekstGaramond"/>
            </w:pPr>
            <w:r w:rsidRPr="00DE55D3">
              <w:t>DI</w:t>
            </w:r>
            <w:r>
              <w:t xml:space="preserve"> anerkender, at ændringen ove</w:t>
            </w:r>
            <w:r>
              <w:t>r</w:t>
            </w:r>
            <w:r>
              <w:t>ordnet er en implementering af d</w:t>
            </w:r>
            <w:r>
              <w:t>i</w:t>
            </w:r>
            <w:r>
              <w:t>rektivet og har derfor ikke yderlig</w:t>
            </w:r>
            <w:r>
              <w:t>e</w:t>
            </w:r>
            <w:r>
              <w:t xml:space="preserve">re bemærkninger. </w:t>
            </w:r>
          </w:p>
          <w:p w:rsidR="00DE55D3" w:rsidRDefault="00DE55D3" w:rsidP="00B02772">
            <w:pPr>
              <w:pStyle w:val="Tabel-BrdtekstmedafstandptekstGaramond"/>
            </w:pPr>
          </w:p>
          <w:p w:rsidR="00DE55D3" w:rsidRPr="00DE55D3" w:rsidRDefault="00DE55D3" w:rsidP="00B02772">
            <w:pPr>
              <w:pStyle w:val="Tabel-BrdtekstmedafstandptekstGaramond"/>
              <w:rPr>
                <w:u w:val="single"/>
              </w:rPr>
            </w:pPr>
            <w:r w:rsidRPr="00DE55D3">
              <w:rPr>
                <w:u w:val="single"/>
              </w:rPr>
              <w:t>Fjernvarme og sideordnede aktiv</w:t>
            </w:r>
            <w:r w:rsidRPr="00DE55D3">
              <w:rPr>
                <w:u w:val="single"/>
              </w:rPr>
              <w:t>i</w:t>
            </w:r>
            <w:r w:rsidRPr="00DE55D3">
              <w:rPr>
                <w:u w:val="single"/>
              </w:rPr>
              <w:t>tet</w:t>
            </w:r>
          </w:p>
          <w:p w:rsidR="00DE55D3" w:rsidRDefault="00DE55D3" w:rsidP="00B02772">
            <w:pPr>
              <w:pStyle w:val="Tabel-BrdtekstmedafstandptekstGaramond"/>
            </w:pPr>
            <w:r>
              <w:t>DI kvitterer for, at forslaget er med til at sikre en større grad af fleksib</w:t>
            </w:r>
            <w:r>
              <w:t>i</w:t>
            </w:r>
            <w:r>
              <w:t>litet i forhold til anvendelse af ska</w:t>
            </w:r>
            <w:r>
              <w:t>t</w:t>
            </w:r>
            <w:r>
              <w:t>tereglerne på fjernvarmeværkers a</w:t>
            </w:r>
            <w:r>
              <w:t>k</w:t>
            </w:r>
            <w:r>
              <w:t xml:space="preserve">tivitet. </w:t>
            </w:r>
          </w:p>
          <w:p w:rsidR="00DE55D3" w:rsidRDefault="00DE55D3" w:rsidP="00B02772">
            <w:pPr>
              <w:pStyle w:val="Tabel-BrdtekstmedafstandptekstGaramond"/>
            </w:pPr>
          </w:p>
          <w:p w:rsidR="00DE55D3" w:rsidRPr="00DE55D3" w:rsidRDefault="00DE55D3" w:rsidP="00B02772">
            <w:pPr>
              <w:pStyle w:val="Tabel-BrdtekstmedafstandptekstGaramond"/>
              <w:rPr>
                <w:u w:val="single"/>
              </w:rPr>
            </w:pPr>
            <w:r w:rsidRPr="00DE55D3">
              <w:rPr>
                <w:u w:val="single"/>
              </w:rPr>
              <w:t>Ændring af procentsatsen for ind</w:t>
            </w:r>
            <w:r w:rsidRPr="00DE55D3">
              <w:rPr>
                <w:u w:val="single"/>
              </w:rPr>
              <w:t>e</w:t>
            </w:r>
            <w:r w:rsidRPr="00DE55D3">
              <w:rPr>
                <w:u w:val="single"/>
              </w:rPr>
              <w:t>holdelse af kildeskat samt kildeskat ved udbetaling og godskrivning af royalty og renter</w:t>
            </w:r>
          </w:p>
          <w:p w:rsidR="00DE55D3" w:rsidRPr="00DA285B" w:rsidRDefault="00DA285B" w:rsidP="00B02772">
            <w:pPr>
              <w:pStyle w:val="Tabel-BrdtekstmedafstandptekstGaramond"/>
            </w:pPr>
            <w:r>
              <w:t>DI er enig i, at de foreslåede æ</w:t>
            </w:r>
            <w:r>
              <w:t>n</w:t>
            </w:r>
            <w:r>
              <w:t>dringer er en naturlig følge af den nedsatte selskabsskat.</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F40708" w:rsidRDefault="00F40708" w:rsidP="00B02772">
            <w:pPr>
              <w:pStyle w:val="Tabel-BrdtekstmedafstandptekstGaramond"/>
            </w:pPr>
          </w:p>
          <w:p w:rsidR="005E1892" w:rsidRDefault="003A7413" w:rsidP="00B02772">
            <w:pPr>
              <w:pStyle w:val="Tabel-BrdtekstmedafstandptekstGaramond"/>
            </w:pPr>
            <w:r>
              <w:t xml:space="preserve">Der henvises til kommentaren til Dansk Erhverv. </w:t>
            </w:r>
          </w:p>
          <w:p w:rsidR="005E1892" w:rsidRDefault="005E1892" w:rsidP="00B02772">
            <w:pPr>
              <w:pStyle w:val="Tabel-BrdtekstmedafstandptekstGaramond"/>
            </w:pPr>
          </w:p>
          <w:p w:rsidR="00AB221F" w:rsidRDefault="005E1892" w:rsidP="00B02772">
            <w:pPr>
              <w:pStyle w:val="Tabel-BrdtekstmedafstandptekstGaramond"/>
            </w:pPr>
            <w:r>
              <w:t>Med hensyn til rentesatsens større</w:t>
            </w:r>
            <w:r>
              <w:t>l</w:t>
            </w:r>
            <w:r>
              <w:t>se så svarer denne til den rentesats, der er fastsat i andre lignende situ</w:t>
            </w:r>
            <w:r>
              <w:t>a</w:t>
            </w:r>
            <w:r>
              <w:t>tioner, hvor der er adgang til at få henstand med betalingen af en e</w:t>
            </w:r>
            <w:r>
              <w:t>l</w:t>
            </w:r>
            <w:r>
              <w:t xml:space="preserve">lers forfalden skat. </w:t>
            </w:r>
          </w:p>
          <w:p w:rsidR="00AB221F" w:rsidRDefault="00AB221F" w:rsidP="00B02772">
            <w:pPr>
              <w:pStyle w:val="Tabel-BrdtekstmedafstandptekstGaramond"/>
            </w:pPr>
          </w:p>
          <w:p w:rsidR="00AB221F" w:rsidRDefault="00AB221F" w:rsidP="00B02772">
            <w:pPr>
              <w:pStyle w:val="Tabel-BrdtekstmedafstandptekstGaramond"/>
            </w:pPr>
          </w:p>
          <w:p w:rsidR="00B32FCB" w:rsidRDefault="00AB221F" w:rsidP="00AB221F">
            <w:pPr>
              <w:pStyle w:val="Tabel-BrdtekstmedafstandptekstGaramond"/>
            </w:pPr>
            <w:r>
              <w:t>Det overordnende formål med re</w:t>
            </w:r>
            <w:r>
              <w:t>n</w:t>
            </w:r>
            <w:r>
              <w:t>tefradragsbegrænsningsreglerne er, at koncernerne alene skal have fr</w:t>
            </w:r>
            <w:r>
              <w:t>a</w:t>
            </w:r>
            <w:r>
              <w:t xml:space="preserve">drag for de finansieringsudgifter, der vedrører </w:t>
            </w:r>
            <w:r w:rsidR="00B32FCB">
              <w:t>finansieringen af dansk skattepligtige driftsaktiver. Det skal således ikke være muligt at ”</w:t>
            </w:r>
            <w:proofErr w:type="spellStart"/>
            <w:r w:rsidR="00B32FCB">
              <w:t>indvælte</w:t>
            </w:r>
            <w:proofErr w:type="spellEnd"/>
            <w:r w:rsidR="00B32FCB">
              <w:t>” aktionærernes finansi</w:t>
            </w:r>
            <w:r w:rsidR="00B32FCB">
              <w:t>e</w:t>
            </w:r>
            <w:r w:rsidR="00B32FCB">
              <w:t>ringsudgifter eller finansieringen af udenlandske aktiver, der ikke in</w:t>
            </w:r>
            <w:r w:rsidR="00B32FCB">
              <w:t>d</w:t>
            </w:r>
            <w:r w:rsidR="00B32FCB">
              <w:t>går i den danske beskatning.</w:t>
            </w:r>
          </w:p>
          <w:p w:rsidR="00B32FCB" w:rsidRDefault="00B32FCB" w:rsidP="00AB221F">
            <w:pPr>
              <w:pStyle w:val="Tabel-BrdtekstmedafstandptekstGaramond"/>
            </w:pPr>
          </w:p>
          <w:p w:rsidR="00170C5E" w:rsidRDefault="00B32FCB" w:rsidP="00AB221F">
            <w:pPr>
              <w:pStyle w:val="Tabel-BrdtekstmedafstandptekstGaramond"/>
            </w:pPr>
            <w:r>
              <w:t>Jeg ser ingen grund til at revurdere dette overordnede formål.</w:t>
            </w:r>
          </w:p>
          <w:p w:rsidR="00170C5E" w:rsidRDefault="00170C5E" w:rsidP="00AB221F">
            <w:pPr>
              <w:pStyle w:val="Tabel-BrdtekstmedafstandptekstGaramond"/>
            </w:pPr>
          </w:p>
          <w:p w:rsidR="00357278" w:rsidRPr="00357278" w:rsidRDefault="00357278" w:rsidP="00357278">
            <w:pPr>
              <w:pStyle w:val="Tabel-BrdtekstmedafstandptekstGaramond"/>
            </w:pPr>
            <w:r w:rsidRPr="00357278">
              <w:t>Det er naturligvis ikke muligt at opgøre de enkelte selskabers præc</w:t>
            </w:r>
            <w:r w:rsidRPr="00357278">
              <w:t>i</w:t>
            </w:r>
            <w:r w:rsidRPr="00357278">
              <w:t>se finansieringsomkostninger. De</w:t>
            </w:r>
            <w:r w:rsidRPr="00357278">
              <w:t>r</w:t>
            </w:r>
            <w:r w:rsidRPr="00357278">
              <w:t>for tages i reglerne udgangspunkt i en standardforrentning svarende National</w:t>
            </w:r>
            <w:r>
              <w:t>b</w:t>
            </w:r>
            <w:r w:rsidRPr="00357278">
              <w:t>ankens opgørelse af den gennemsnitlige kassekreditrente for ikke-finansielle selskaber.</w:t>
            </w:r>
          </w:p>
          <w:p w:rsidR="00357278" w:rsidRPr="00357278" w:rsidRDefault="00357278" w:rsidP="00357278">
            <w:pPr>
              <w:pStyle w:val="Tabel-BrdtekstmedafstandptekstGaramond"/>
            </w:pPr>
          </w:p>
          <w:p w:rsidR="00357278" w:rsidRPr="00357278" w:rsidRDefault="00357278" w:rsidP="00357278">
            <w:pPr>
              <w:pStyle w:val="Tabel-BrdtekstmedafstandptekstGaramond"/>
            </w:pPr>
            <w:r w:rsidRPr="00357278">
              <w:t>Nationalbanken har tidligere oplyst</w:t>
            </w:r>
            <w:r w:rsidR="00BB6CDB">
              <w:t>,</w:t>
            </w:r>
            <w:r w:rsidRPr="00357278">
              <w:t xml:space="preserve"> at ca. 50 pct. af selskabernes lån</w:t>
            </w:r>
            <w:r w:rsidRPr="00357278">
              <w:t>e</w:t>
            </w:r>
            <w:r w:rsidRPr="00357278">
              <w:t>masse består af kassekreditter, og kassekreditrenten vurderes derfor i vidt omfang at være repræsentativ for selskabernes samlede genne</w:t>
            </w:r>
            <w:r w:rsidRPr="00357278">
              <w:t>m</w:t>
            </w:r>
            <w:r w:rsidRPr="00357278">
              <w:t xml:space="preserve">snitlige finansieringsomkostninger.  </w:t>
            </w:r>
          </w:p>
          <w:p w:rsidR="00AB221F" w:rsidRPr="00B5346F" w:rsidRDefault="00357278" w:rsidP="00357278">
            <w:pPr>
              <w:pStyle w:val="Tabel-BrdtekstmedafstandptekstGaramond"/>
            </w:pPr>
            <w:r>
              <w:t xml:space="preserve"> </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Pr="00600E3E" w:rsidRDefault="00F40708" w:rsidP="00815F28">
            <w:pPr>
              <w:pStyle w:val="Tabel-BrdtekstmedafstandptekstGaramond"/>
              <w:rPr>
                <w:i/>
              </w:rPr>
            </w:pPr>
            <w:r>
              <w:rPr>
                <w:i/>
              </w:rPr>
              <w:lastRenderedPageBreak/>
              <w:t>Finansrådet</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F40708" w:rsidRPr="00DA285B" w:rsidRDefault="00DA285B" w:rsidP="00B02772">
            <w:pPr>
              <w:pStyle w:val="Tabel-BrdtekstmedafstandptekstGaramond"/>
              <w:rPr>
                <w:u w:val="single"/>
              </w:rPr>
            </w:pPr>
            <w:r w:rsidRPr="00DA285B">
              <w:rPr>
                <w:u w:val="single"/>
              </w:rPr>
              <w:t>Rentefradragsbegrænsningsreglerne</w:t>
            </w:r>
          </w:p>
          <w:p w:rsidR="002908BC" w:rsidRDefault="002908BC" w:rsidP="002908BC">
            <w:pPr>
              <w:pStyle w:val="Tabel-BrdtekstmedafstandptekstGaramond"/>
            </w:pPr>
            <w:r>
              <w:t xml:space="preserve">Finansrådet </w:t>
            </w:r>
            <w:r w:rsidR="00DF6E27">
              <w:t xml:space="preserve">foreslår </w:t>
            </w:r>
            <w:r>
              <w:t xml:space="preserve">en justering af SEL § 11 B, stk. 10, 2. pkt., som omhandler </w:t>
            </w:r>
            <w:proofErr w:type="spellStart"/>
            <w:r>
              <w:t>renteswaps</w:t>
            </w:r>
            <w:proofErr w:type="spellEnd"/>
            <w:r>
              <w:t xml:space="preserve"> vedrørende lån med sikkerhed i fast ejendom, for at undgå ”fastlåsning” af se</w:t>
            </w:r>
            <w:r>
              <w:t>l</w:t>
            </w:r>
            <w:r>
              <w:t>skaber, der har afdækket deres b</w:t>
            </w:r>
            <w:r>
              <w:t>e</w:t>
            </w:r>
            <w:r>
              <w:t xml:space="preserve">låning af fast ejendom med </w:t>
            </w:r>
            <w:proofErr w:type="spellStart"/>
            <w:r>
              <w:t>rent</w:t>
            </w:r>
            <w:r>
              <w:t>e</w:t>
            </w:r>
            <w:r>
              <w:t>swaps</w:t>
            </w:r>
            <w:proofErr w:type="spellEnd"/>
            <w:r>
              <w:t xml:space="preserve">. Et realiseret kurstab på en ophørt renteswap vedrørende lån med sikkerhed i fast ejendom bør ifølge Finansrådet kunne fremføres tidsubegrænset i </w:t>
            </w:r>
            <w:proofErr w:type="spellStart"/>
            <w:r>
              <w:t>urealiserede</w:t>
            </w:r>
            <w:proofErr w:type="spellEnd"/>
            <w:r>
              <w:t xml:space="preserve"> og </w:t>
            </w:r>
            <w:r>
              <w:lastRenderedPageBreak/>
              <w:t>realiserede kursgevinster på en ti</w:t>
            </w:r>
            <w:r>
              <w:t>l</w:t>
            </w:r>
            <w:r>
              <w:t xml:space="preserve">svarende kontrakt, der vedrører lån med sikkerhed i fast ejendom. </w:t>
            </w:r>
          </w:p>
          <w:p w:rsidR="002908BC" w:rsidRDefault="002908BC" w:rsidP="002908BC">
            <w:pPr>
              <w:pStyle w:val="Tabel-BrdtekstmedafstandptekstGaramond"/>
            </w:pPr>
          </w:p>
          <w:p w:rsidR="00DA285B" w:rsidRPr="00B5346F" w:rsidRDefault="002908BC" w:rsidP="00FF7285">
            <w:pPr>
              <w:pStyle w:val="Tabel-BrdtekstmedafstandptekstGaramond"/>
            </w:pPr>
            <w:r>
              <w:t>Med de nugældende regler kan der opstå en uheldig situation for se</w:t>
            </w:r>
            <w:r>
              <w:t>l</w:t>
            </w:r>
            <w:r>
              <w:t>skaber, der har afdækket deres rea</w:t>
            </w:r>
            <w:r>
              <w:t>l</w:t>
            </w:r>
            <w:r>
              <w:t>kreditlån med en renteswap, hvis selskabet ønsker at omlægge rea</w:t>
            </w:r>
            <w:r>
              <w:t>l</w:t>
            </w:r>
            <w:r>
              <w:t>kreditlånet</w:t>
            </w:r>
            <w:r w:rsidR="00A1443D">
              <w:t>, at skifte institut eller at afstå den faste ejendom.</w:t>
            </w:r>
            <w:r>
              <w:t xml:space="preserve"> </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F40708" w:rsidRDefault="00F40708" w:rsidP="00B02772">
            <w:pPr>
              <w:pStyle w:val="Tabel-BrdtekstmedafstandptekstGaramond"/>
            </w:pPr>
          </w:p>
          <w:p w:rsidR="009D5CE7" w:rsidRDefault="00A1443D" w:rsidP="002B245F">
            <w:pPr>
              <w:pStyle w:val="Tabel-BrdtekstmedafstandptekstGaramond"/>
            </w:pPr>
            <w:r>
              <w:t>I forhold til høringsforslaget er der tale om et nyt forslag, der indeho</w:t>
            </w:r>
            <w:r>
              <w:t>l</w:t>
            </w:r>
            <w:r>
              <w:t xml:space="preserve">der en ikke uvæsentlig grad af kompleksitet. </w:t>
            </w:r>
            <w:r w:rsidR="002B245F">
              <w:t>Forslaget er ikke ti</w:t>
            </w:r>
            <w:r w:rsidR="002B245F">
              <w:t>l</w:t>
            </w:r>
            <w:r w:rsidR="002B245F">
              <w:t>strækkeligt gennemanalyseret til at indgå i dette lovforslag.</w:t>
            </w:r>
          </w:p>
          <w:p w:rsidR="009D5CE7" w:rsidRDefault="009D5CE7" w:rsidP="002B245F">
            <w:pPr>
              <w:pStyle w:val="Tabel-BrdtekstmedafstandptekstGaramond"/>
            </w:pPr>
          </w:p>
          <w:p w:rsidR="002B245F" w:rsidRDefault="00106865" w:rsidP="002B245F">
            <w:pPr>
              <w:pStyle w:val="Tabel-BrdtekstmedafstandptekstGaramond"/>
            </w:pPr>
            <w:r>
              <w:t xml:space="preserve">Skatteministeriet vil derimod gerne i et samarbejde med </w:t>
            </w:r>
            <w:r w:rsidR="002B245F">
              <w:t xml:space="preserve">Finansrådet </w:t>
            </w:r>
            <w:r w:rsidR="00FF7285">
              <w:t xml:space="preserve">(og FSR, </w:t>
            </w:r>
            <w:r w:rsidR="002B245F">
              <w:t xml:space="preserve">som er kommet med et tilsvarende forslag) </w:t>
            </w:r>
            <w:r>
              <w:t xml:space="preserve">foretage en nærmere undersøgelse af </w:t>
            </w:r>
            <w:r w:rsidR="009D5CE7">
              <w:t xml:space="preserve">deres </w:t>
            </w:r>
            <w:r w:rsidR="002B245F">
              <w:t>fo</w:t>
            </w:r>
            <w:r w:rsidR="002B245F">
              <w:t>r</w:t>
            </w:r>
            <w:r w:rsidR="002B245F">
              <w:lastRenderedPageBreak/>
              <w:t>slag.</w:t>
            </w:r>
          </w:p>
          <w:p w:rsidR="002B245F" w:rsidRDefault="002B245F" w:rsidP="002B245F">
            <w:pPr>
              <w:pStyle w:val="Tabel-BrdtekstmedafstandptekstGaramond"/>
            </w:pPr>
          </w:p>
          <w:p w:rsidR="002B245F" w:rsidRDefault="002B245F" w:rsidP="002B245F">
            <w:pPr>
              <w:pStyle w:val="Tabel-BrdtekstmedafstandptekstGaramond"/>
            </w:pPr>
          </w:p>
          <w:p w:rsidR="002B245F" w:rsidRPr="00B5346F" w:rsidRDefault="002B245F" w:rsidP="002B245F">
            <w:pPr>
              <w:pStyle w:val="Tabel-BrdtekstmedafstandptekstGaramond"/>
            </w:pP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DF6E27" w:rsidRDefault="00DF6E27" w:rsidP="00815F28">
            <w:pPr>
              <w:pStyle w:val="Tabel-BrdtekstmedafstandptekstGaramond"/>
              <w:rPr>
                <w:i/>
              </w:rPr>
            </w:pPr>
            <w:r>
              <w:rPr>
                <w:i/>
              </w:rPr>
              <w:lastRenderedPageBreak/>
              <w:t>Finanstilsynet</w:t>
            </w:r>
          </w:p>
        </w:tc>
        <w:tc>
          <w:tcPr>
            <w:tcW w:w="213" w:type="dxa"/>
            <w:shd w:val="clear" w:color="auto" w:fill="FFFFFF" w:themeFill="background1"/>
          </w:tcPr>
          <w:p w:rsidR="00DF6E27" w:rsidRPr="00B5346F" w:rsidRDefault="00DF6E27" w:rsidP="00B02772"/>
        </w:tc>
        <w:tc>
          <w:tcPr>
            <w:tcW w:w="3443" w:type="dxa"/>
            <w:tcBorders>
              <w:top w:val="single" w:sz="4" w:space="0" w:color="D1C5C3" w:themeColor="accent3"/>
              <w:bottom w:val="single" w:sz="4" w:space="0" w:color="D1C5C3" w:themeColor="accent3"/>
            </w:tcBorders>
            <w:shd w:val="clear" w:color="auto" w:fill="FBF9F9"/>
          </w:tcPr>
          <w:p w:rsidR="00DF6E27" w:rsidRDefault="00DF6E27" w:rsidP="006B2679">
            <w:pPr>
              <w:pStyle w:val="Tabel-BrdtekstmedafstandptekstGaramond"/>
            </w:pPr>
            <w:r>
              <w:t>Ingen bemærkninger.</w:t>
            </w:r>
          </w:p>
        </w:tc>
        <w:tc>
          <w:tcPr>
            <w:tcW w:w="230" w:type="dxa"/>
            <w:shd w:val="clear" w:color="auto" w:fill="FFFFFF" w:themeFill="background1"/>
          </w:tcPr>
          <w:p w:rsidR="00DF6E27" w:rsidRPr="00B5346F" w:rsidRDefault="00DF6E27" w:rsidP="00B02772"/>
        </w:tc>
        <w:tc>
          <w:tcPr>
            <w:tcW w:w="3443" w:type="dxa"/>
            <w:tcBorders>
              <w:top w:val="single" w:sz="4" w:space="0" w:color="14143C" w:themeColor="accent1"/>
              <w:bottom w:val="single" w:sz="4" w:space="0" w:color="14143C" w:themeColor="accent1"/>
            </w:tcBorders>
            <w:shd w:val="clear" w:color="auto" w:fill="D2CED8"/>
          </w:tcPr>
          <w:p w:rsidR="00DF6E27" w:rsidRPr="00B5346F" w:rsidRDefault="00DF6E27" w:rsidP="00B02772">
            <w:pPr>
              <w:pStyle w:val="Tabel-BrdtekstmedafstandptekstGaramond"/>
            </w:pP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Default="00F40708" w:rsidP="00815F28">
            <w:pPr>
              <w:pStyle w:val="Tabel-BrdtekstmedafstandptekstGaramond"/>
              <w:rPr>
                <w:i/>
              </w:rPr>
            </w:pPr>
            <w:r>
              <w:rPr>
                <w:i/>
              </w:rPr>
              <w:t>Forsikring og Pension</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F40708" w:rsidRPr="00B5346F" w:rsidRDefault="006B2679" w:rsidP="006B2679">
            <w:pPr>
              <w:pStyle w:val="Tabel-BrdtekstmedafstandptekstGaramond"/>
            </w:pPr>
            <w:r>
              <w:t>F &amp; P kan tilslutte sig den foreslå</w:t>
            </w:r>
            <w:r>
              <w:t>e</w:t>
            </w:r>
            <w:r>
              <w:t>de justering af rentefradragsb</w:t>
            </w:r>
            <w:r>
              <w:t>e</w:t>
            </w:r>
            <w:r>
              <w:t xml:space="preserve">grænsningsreglerne. </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F40708" w:rsidRPr="00B5346F" w:rsidRDefault="00F40708" w:rsidP="00B02772">
            <w:pPr>
              <w:pStyle w:val="Tabel-BrdtekstmedafstandptekstGaramond"/>
            </w:pP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Default="00F40708" w:rsidP="00815F28">
            <w:pPr>
              <w:pStyle w:val="Tabel-BrdtekstmedafstandptekstGaramond"/>
              <w:rPr>
                <w:i/>
              </w:rPr>
            </w:pPr>
            <w:r>
              <w:rPr>
                <w:i/>
              </w:rPr>
              <w:t>FSR – danske revisorer</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F40708" w:rsidRDefault="00DA285B" w:rsidP="00B02772">
            <w:pPr>
              <w:pStyle w:val="Tabel-BrdtekstmedafstandptekstGaramond"/>
              <w:rPr>
                <w:u w:val="single"/>
              </w:rPr>
            </w:pPr>
            <w:r>
              <w:rPr>
                <w:u w:val="single"/>
              </w:rPr>
              <w:t>§ 1 - Kildeskatteloven</w:t>
            </w:r>
          </w:p>
          <w:p w:rsidR="00DA285B" w:rsidRDefault="00DF6E27" w:rsidP="00DA285B">
            <w:pPr>
              <w:pStyle w:val="Tabel-BrdtekstmedafstandptekstGaramond"/>
            </w:pPr>
            <w:r w:rsidRPr="00DF6E27">
              <w:t>FSR beder om at få bekræftet, at den foreslåede § 10 i kildeskattel</w:t>
            </w:r>
            <w:r w:rsidRPr="00DF6E27">
              <w:t>o</w:t>
            </w:r>
            <w:r w:rsidRPr="00DF6E27">
              <w:t>ven også omfatter aktiver knyttet til et udenlandsk fast driftssted og ejendomme beliggende i udlandet, forudsat at Danmark ikke er afsk</w:t>
            </w:r>
            <w:r w:rsidRPr="00DF6E27">
              <w:t>å</w:t>
            </w:r>
            <w:r w:rsidRPr="00DF6E27">
              <w:t>ret fra at beskatte indkomsten.</w:t>
            </w:r>
          </w:p>
          <w:p w:rsidR="00DF6E27" w:rsidRDefault="00DF6E27" w:rsidP="00DA285B">
            <w:pPr>
              <w:pStyle w:val="Tabel-BrdtekstmedafstandptekstGaramond"/>
            </w:pPr>
          </w:p>
          <w:p w:rsidR="00DF6E27" w:rsidRDefault="00DF6E27" w:rsidP="00DA285B">
            <w:pPr>
              <w:pStyle w:val="Tabel-BrdtekstmedafstandptekstGaramond"/>
            </w:pPr>
          </w:p>
          <w:p w:rsidR="00DF6E27" w:rsidRDefault="00DF6E27" w:rsidP="00DA285B">
            <w:pPr>
              <w:pStyle w:val="Tabel-BrdtekstmedafstandptekstGaramond"/>
            </w:pPr>
          </w:p>
          <w:p w:rsidR="00DF6E27" w:rsidRDefault="00DF6E27" w:rsidP="00DA285B">
            <w:pPr>
              <w:pStyle w:val="Tabel-BrdtekstmedafstandptekstGaramond"/>
            </w:pPr>
          </w:p>
          <w:p w:rsidR="00DF6E27" w:rsidRDefault="00DF6E27" w:rsidP="00DA285B">
            <w:pPr>
              <w:pStyle w:val="Tabel-BrdtekstmedafstandptekstGaramond"/>
            </w:pPr>
          </w:p>
          <w:p w:rsidR="00DF6E27" w:rsidRDefault="00DF6E27" w:rsidP="00DA285B">
            <w:pPr>
              <w:pStyle w:val="Tabel-BrdtekstmedafstandptekstGaramond"/>
            </w:pPr>
          </w:p>
          <w:p w:rsidR="00DF6E27" w:rsidRDefault="00DF6E27" w:rsidP="00DA285B">
            <w:pPr>
              <w:pStyle w:val="Tabel-BrdtekstmedafstandptekstGaramond"/>
            </w:pPr>
          </w:p>
          <w:p w:rsidR="00DF6E27" w:rsidRDefault="00DF6E27" w:rsidP="00DA285B">
            <w:pPr>
              <w:pStyle w:val="Tabel-BrdtekstmedafstandptekstGaramond"/>
            </w:pPr>
          </w:p>
          <w:p w:rsidR="00BB6CDB" w:rsidRDefault="00BB6CDB" w:rsidP="00DA285B">
            <w:pPr>
              <w:pStyle w:val="Tabel-BrdtekstmedafstandptekstGaramond"/>
            </w:pPr>
          </w:p>
          <w:p w:rsidR="00DF6E27" w:rsidRDefault="00DF6E27" w:rsidP="00DA285B">
            <w:pPr>
              <w:pStyle w:val="Tabel-BrdtekstmedafstandptekstGaramond"/>
            </w:pPr>
            <w:r>
              <w:t>FSR spørger om, hvilket dokume</w:t>
            </w:r>
            <w:r>
              <w:t>n</w:t>
            </w:r>
            <w:r>
              <w:t>tationskrav der stilles ved anvende</w:t>
            </w:r>
            <w:r>
              <w:t>l</w:t>
            </w:r>
            <w:r>
              <w:t xml:space="preserve">se af den foreslåede </w:t>
            </w:r>
            <w:proofErr w:type="spellStart"/>
            <w:r>
              <w:t>creditlempelse</w:t>
            </w:r>
            <w:proofErr w:type="spellEnd"/>
            <w:r>
              <w:t xml:space="preserve"> for skat, som ville kunne blive o</w:t>
            </w:r>
            <w:r>
              <w:t>p</w:t>
            </w:r>
            <w:r>
              <w:t>krævet i udlandet, hvis der var sket en afståelse på tidspunktet for o</w:t>
            </w:r>
            <w:r>
              <w:t>p</w:t>
            </w:r>
            <w:r>
              <w:lastRenderedPageBreak/>
              <w:t>hør af skattepligt til Danmark. Endvidere bedes oplyst</w:t>
            </w:r>
            <w:r w:rsidR="00682E5D">
              <w:t>,</w:t>
            </w:r>
            <w:r>
              <w:t xml:space="preserve"> om der i den forbindelse skal tages hensyn til eventuelle udenlandske gena</w:t>
            </w:r>
            <w:r>
              <w:t>n</w:t>
            </w:r>
            <w:r>
              <w:t>bringelsesmuligheder.</w:t>
            </w:r>
          </w:p>
          <w:p w:rsidR="00DF6E27" w:rsidRDefault="00DF6E27" w:rsidP="00DA285B">
            <w:pPr>
              <w:pStyle w:val="Tabel-BrdtekstmedafstandptekstGaramond"/>
            </w:pPr>
          </w:p>
          <w:p w:rsidR="00DA285B" w:rsidRDefault="00DA285B" w:rsidP="00DA285B">
            <w:pPr>
              <w:pStyle w:val="Tabel-BrdtekstmedafstandptekstGaramond"/>
              <w:rPr>
                <w:u w:val="single"/>
              </w:rPr>
            </w:pPr>
            <w:r w:rsidRPr="00DA285B">
              <w:rPr>
                <w:u w:val="single"/>
              </w:rPr>
              <w:t>Exitskat og henstand for fysiske personer</w:t>
            </w:r>
          </w:p>
          <w:p w:rsidR="00DA285B" w:rsidRDefault="005E1892" w:rsidP="00DA285B">
            <w:pPr>
              <w:pStyle w:val="Tabel-BrdtekstmedafstandptekstGaramond"/>
            </w:pPr>
            <w:r>
              <w:t>FSR anfører med henvisning til EU-Domstolens praksis, at forsl</w:t>
            </w:r>
            <w:r>
              <w:t>a</w:t>
            </w:r>
            <w:r>
              <w:t>get om en henstandsordning bør tilpasses, således at krav om bet</w:t>
            </w:r>
            <w:r>
              <w:t>a</w:t>
            </w:r>
            <w:r>
              <w:t xml:space="preserve">ling af exitskatten (beskatning) før afståelse begrænses til aktiver, der ikke er bestemt til at blive afstået.  </w:t>
            </w:r>
          </w:p>
          <w:p w:rsidR="005E1892" w:rsidRDefault="005E1892"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C41537" w:rsidRDefault="00C41537" w:rsidP="00DA285B">
            <w:pPr>
              <w:pStyle w:val="Tabel-BrdtekstmedafstandptekstGaramond"/>
            </w:pPr>
          </w:p>
          <w:p w:rsidR="00DA285B" w:rsidRPr="00DA285B" w:rsidRDefault="00DA285B" w:rsidP="00DA285B">
            <w:pPr>
              <w:pStyle w:val="Tabel-BrdtekstmedafstandptekstGaramond"/>
              <w:rPr>
                <w:u w:val="single"/>
              </w:rPr>
            </w:pPr>
            <w:r w:rsidRPr="00DA285B">
              <w:rPr>
                <w:u w:val="single"/>
              </w:rPr>
              <w:t>§ 2 – Kursgevinstloven</w:t>
            </w:r>
          </w:p>
          <w:p w:rsidR="00900BF3" w:rsidRDefault="00900BF3" w:rsidP="00900BF3">
            <w:pPr>
              <w:pStyle w:val="Tabel-BrdtekstmedafstandptekstGaramond"/>
            </w:pPr>
            <w:r>
              <w:t>FSR noterer sig med glæde, at m</w:t>
            </w:r>
            <w:r>
              <w:t>u</w:t>
            </w:r>
            <w:r>
              <w:t>ligheden</w:t>
            </w:r>
            <w:r w:rsidR="00BB6CDB">
              <w:t>,</w:t>
            </w:r>
            <w:r>
              <w:t xml:space="preserve"> for at selskaber kan a</w:t>
            </w:r>
            <w:r>
              <w:t>n</w:t>
            </w:r>
            <w:r>
              <w:t>vende lagerprincippet for kursg</w:t>
            </w:r>
            <w:r>
              <w:t>e</w:t>
            </w:r>
            <w:r>
              <w:t>vinst-</w:t>
            </w:r>
            <w:r w:rsidR="00106865">
              <w:t xml:space="preserve"> </w:t>
            </w:r>
            <w:r>
              <w:t>og tab som følge af valut</w:t>
            </w:r>
            <w:r>
              <w:t>a</w:t>
            </w:r>
            <w:r>
              <w:t>kursændringer, uden samtidig a</w:t>
            </w:r>
            <w:r>
              <w:t>n</w:t>
            </w:r>
            <w:r>
              <w:t>vendelse af lagerprincippet for kursgevinst-og tab på selve fordri</w:t>
            </w:r>
            <w:r>
              <w:t>n</w:t>
            </w:r>
            <w:r>
              <w:t xml:space="preserve">gen/gælden, nu foreslås genindført. </w:t>
            </w:r>
            <w:r w:rsidR="00106865">
              <w:t xml:space="preserve">Efter </w:t>
            </w:r>
            <w:proofErr w:type="spellStart"/>
            <w:r>
              <w:t>FSR</w:t>
            </w:r>
            <w:r w:rsidR="00106865">
              <w:t>s</w:t>
            </w:r>
            <w:proofErr w:type="spellEnd"/>
            <w:r>
              <w:t xml:space="preserve"> </w:t>
            </w:r>
            <w:r w:rsidR="00106865">
              <w:t xml:space="preserve">opfattelse </w:t>
            </w:r>
            <w:r>
              <w:t>er der ingen reale hensyn</w:t>
            </w:r>
            <w:r w:rsidR="00106865">
              <w:t>,</w:t>
            </w:r>
            <w:r>
              <w:t xml:space="preserve"> der kunne begrunde fjernelsen i 2010. FSR noterer sig også med tilfredshed, at selskaber, der i 2010 valgte</w:t>
            </w:r>
            <w:r w:rsidR="00106865">
              <w:t xml:space="preserve"> </w:t>
            </w:r>
            <w:r>
              <w:t>lagerprincippet for koncernfordringer, og som derfor kan være blevet ramt af asymm</w:t>
            </w:r>
            <w:r>
              <w:t>e</w:t>
            </w:r>
            <w:r>
              <w:t xml:space="preserve">trisk beskatning af </w:t>
            </w:r>
            <w:proofErr w:type="spellStart"/>
            <w:r>
              <w:t>urealiserede</w:t>
            </w:r>
            <w:proofErr w:type="spellEnd"/>
            <w:r>
              <w:t xml:space="preserve"> g</w:t>
            </w:r>
            <w:r>
              <w:t>e</w:t>
            </w:r>
            <w:r>
              <w:t>vinster og tab på sådanne fordri</w:t>
            </w:r>
            <w:r>
              <w:t>n</w:t>
            </w:r>
            <w:r>
              <w:lastRenderedPageBreak/>
              <w:t>ger, får mulighed for at vælge dette princip med tilbagevirkende kraft fra og med indkomståret 2010. FSR finder det dog beklageligt, at det tog fire år at få fjernet denne ur</w:t>
            </w:r>
            <w:r>
              <w:t>i</w:t>
            </w:r>
            <w:r>
              <w:t>melige asymmetri.</w:t>
            </w:r>
          </w:p>
          <w:p w:rsidR="00900BF3" w:rsidRDefault="00900BF3" w:rsidP="00900BF3">
            <w:pPr>
              <w:pStyle w:val="Tabel-BrdtekstmedafstandptekstGaramond"/>
            </w:pPr>
          </w:p>
          <w:p w:rsidR="00900BF3" w:rsidRDefault="00900BF3" w:rsidP="00900BF3">
            <w:pPr>
              <w:pStyle w:val="Tabel-BrdtekstmedafstandptekstGaramond"/>
            </w:pPr>
            <w:r>
              <w:t>FSR peger på, at forslaget afste</w:t>
            </w:r>
            <w:r>
              <w:t>d</w:t>
            </w:r>
            <w:r>
              <w:t>kommer et væsentligt administrativt problem i relation til rentefordri</w:t>
            </w:r>
            <w:r>
              <w:t>n</w:t>
            </w:r>
            <w:r>
              <w:t>ger på koncernforbundne selskaber. Der henvises til, at det følger af SKM 2012.219</w:t>
            </w:r>
            <w:proofErr w:type="gramStart"/>
            <w:r>
              <w:t>.SR</w:t>
            </w:r>
            <w:proofErr w:type="gramEnd"/>
            <w:r>
              <w:t>, at rentefordri</w:t>
            </w:r>
            <w:r>
              <w:t>n</w:t>
            </w:r>
            <w:r>
              <w:t>ger på koncernforbundne selskaber ikke er omfattet af KGL § 4 og de</w:t>
            </w:r>
            <w:r>
              <w:t>r</w:t>
            </w:r>
            <w:r>
              <w:t>for heller ikke af undtagelsen i KGL § 25, stk. 3, 2. punktum. De</w:t>
            </w:r>
            <w:r>
              <w:t>t</w:t>
            </w:r>
            <w:r>
              <w:t>te medfører, at det er obligatorisk at anvende lagerprincippet for re</w:t>
            </w:r>
            <w:r>
              <w:t>n</w:t>
            </w:r>
            <w:r>
              <w:t>tefordringer på koncernforbundne selskaber. Langt de fleste selskaber må ifølge FSR antages at ville b</w:t>
            </w:r>
            <w:r>
              <w:t>e</w:t>
            </w:r>
            <w:r>
              <w:t>nytte muligheden for at overgå til at anvende lagerprincippet alene for valutakursreguleringer på koncer</w:t>
            </w:r>
            <w:r>
              <w:t>n</w:t>
            </w:r>
            <w:r>
              <w:t xml:space="preserve">fordringer, da dette vil svare til, hvorledes de pågældende fordringer behandles regnskabsmæssigt, mens næppe </w:t>
            </w:r>
            <w:proofErr w:type="gramStart"/>
            <w:r>
              <w:t>nogen</w:t>
            </w:r>
            <w:proofErr w:type="gramEnd"/>
            <w:r>
              <w:t xml:space="preserve"> selskaber fremadre</w:t>
            </w:r>
            <w:r>
              <w:t>t</w:t>
            </w:r>
            <w:r>
              <w:t>tet vil anvende lagerprincippet på selve hovedstolen (grundet den asymmetriske beskatning af kursg</w:t>
            </w:r>
            <w:r>
              <w:t>e</w:t>
            </w:r>
            <w:r>
              <w:t>vinster og kurstab). Ifølge FSR vil det samlet medføre, at et betydeligt antal selskaber fremadrettet for re</w:t>
            </w:r>
            <w:r>
              <w:t>n</w:t>
            </w:r>
            <w:r>
              <w:t>tefordringer på koncernforbundne selskaber vil benytte lagerprincippet for valutakursreguleringer og skal benytte lagerprincippet for værdir</w:t>
            </w:r>
            <w:r>
              <w:t>e</w:t>
            </w:r>
            <w:r>
              <w:t>guleringer af selve rentefordringen, mens de på hovedstolen kun vil benytte lagerprincippet for valut</w:t>
            </w:r>
            <w:r>
              <w:t>a</w:t>
            </w:r>
            <w:r>
              <w:t>kursreguleringer. FSR finder det uhensigtsmæssigt, at der for rent</w:t>
            </w:r>
            <w:r>
              <w:t>e</w:t>
            </w:r>
            <w:r>
              <w:lastRenderedPageBreak/>
              <w:t>fordringer er et tvungent lagerpri</w:t>
            </w:r>
            <w:r>
              <w:t>n</w:t>
            </w:r>
            <w:r>
              <w:t>cip, mens den asymmetriske b</w:t>
            </w:r>
            <w:r>
              <w:t>e</w:t>
            </w:r>
            <w:r>
              <w:t>skatning af kursgevinst og kurstab på de underliggende koncernfo</w:t>
            </w:r>
            <w:r>
              <w:t>r</w:t>
            </w:r>
            <w:r>
              <w:t>dringer medfører, at de fleste se</w:t>
            </w:r>
            <w:r>
              <w:t>l</w:t>
            </w:r>
            <w:r>
              <w:t>skaber vil se sig nødsaget til at a</w:t>
            </w:r>
            <w:r>
              <w:t>n</w:t>
            </w:r>
            <w:r>
              <w:t>vende realisationsprincippet for hovedstolen. Der bør ifølge FSR være valgfrihed for både rentefo</w:t>
            </w:r>
            <w:r>
              <w:t>r</w:t>
            </w:r>
            <w:r>
              <w:t>dringer og for selve hovedstolen gældende fra og med 2010.</w:t>
            </w:r>
          </w:p>
          <w:p w:rsidR="00900BF3" w:rsidRDefault="00900BF3" w:rsidP="00900BF3">
            <w:pPr>
              <w:pStyle w:val="Tabel-BrdtekstmedafstandptekstGaramond"/>
            </w:pPr>
          </w:p>
          <w:p w:rsidR="00DA285B" w:rsidRDefault="00900BF3" w:rsidP="00900BF3">
            <w:pPr>
              <w:pStyle w:val="Tabel-BrdtekstmedafstandptekstGaramond"/>
            </w:pPr>
            <w:r>
              <w:t>FSR bemærker, at et eventuelt valg af lagerprincippet for valutakursr</w:t>
            </w:r>
            <w:r>
              <w:t>e</w:t>
            </w:r>
            <w:r>
              <w:t>guleringer omfatter valutakursreg</w:t>
            </w:r>
            <w:r>
              <w:t>u</w:t>
            </w:r>
            <w:r>
              <w:t xml:space="preserve">leringer på alle fordringer og al gæld, jf. den foreslåede </w:t>
            </w:r>
            <w:proofErr w:type="spellStart"/>
            <w:r>
              <w:t>nyaffattelse</w:t>
            </w:r>
            <w:proofErr w:type="spellEnd"/>
            <w:r>
              <w:t xml:space="preserve"> af KGL § 25, stk. 4, nr. 3. Det fø</w:t>
            </w:r>
            <w:r>
              <w:t>l</w:t>
            </w:r>
            <w:r>
              <w:t>ger endvidere af den foreslåede b</w:t>
            </w:r>
            <w:r>
              <w:t>e</w:t>
            </w:r>
            <w:r>
              <w:t>stemmelses 3. pkt.</w:t>
            </w:r>
            <w:r w:rsidR="00106865">
              <w:t xml:space="preserve">, </w:t>
            </w:r>
            <w:r>
              <w:t>at: ”Ved anve</w:t>
            </w:r>
            <w:r>
              <w:t>n</w:t>
            </w:r>
            <w:r>
              <w:t>delse af lagerprincippet, jf. 1. pkt., nr. 1 og 2, opgøres gevinst og tab på grundlag af valutakurserne på tidspunktet for fordringens erhve</w:t>
            </w:r>
            <w:r>
              <w:t>r</w:t>
            </w:r>
            <w:r>
              <w:t xml:space="preserve">velse henholdsvis gældens </w:t>
            </w:r>
            <w:proofErr w:type="spellStart"/>
            <w:r>
              <w:t>påtagelse</w:t>
            </w:r>
            <w:proofErr w:type="spellEnd"/>
            <w:r>
              <w:t xml:space="preserve"> uden hensyn til ændringer i valut</w:t>
            </w:r>
            <w:r>
              <w:t>a</w:t>
            </w:r>
            <w:r>
              <w:t>kurserne.” Det omfatter koncer</w:t>
            </w:r>
            <w:r>
              <w:t>n</w:t>
            </w:r>
            <w:r>
              <w:t>fordringer, vederlagsfordringer samt gæld optaget til handel på et reguleret marked. Umiddelbart mangler der ifølge FSR en tilsv</w:t>
            </w:r>
            <w:r>
              <w:t>a</w:t>
            </w:r>
            <w:r>
              <w:t>rende bestemmelse for opgørelse af kursgevinst og -tab på øvrige fo</w:t>
            </w:r>
            <w:r>
              <w:t>r</w:t>
            </w:r>
            <w:r>
              <w:t>dringer, for hvilke det er obligat</w:t>
            </w:r>
            <w:r>
              <w:t>o</w:t>
            </w:r>
            <w:r>
              <w:t>risk at anvende lagerprincippet. Valg af lagerprincippet for valut</w:t>
            </w:r>
            <w:r>
              <w:t>a</w:t>
            </w:r>
            <w:r>
              <w:t>kursreguleringer omfatter jo alle fordringer og al gæld. Der bør de</w:t>
            </w:r>
            <w:r>
              <w:t>r</w:t>
            </w:r>
            <w:r>
              <w:t xml:space="preserve">for efter </w:t>
            </w:r>
            <w:proofErr w:type="spellStart"/>
            <w:r>
              <w:t>FSRs</w:t>
            </w:r>
            <w:proofErr w:type="spellEnd"/>
            <w:r>
              <w:t xml:space="preserve"> opfattelse indsættes en tilsvarende bestemmelse i KGL § 25, stk. 3, således at det sikres, at valuta-kursreguleringer på fx fo</w:t>
            </w:r>
            <w:r>
              <w:t>r</w:t>
            </w:r>
            <w:r>
              <w:t>dringer, der ikke er vederlagsfo</w:t>
            </w:r>
            <w:r>
              <w:t>r</w:t>
            </w:r>
            <w:r>
              <w:t>dringer eller koncernfordringer, i</w:t>
            </w:r>
            <w:r>
              <w:t>k</w:t>
            </w:r>
            <w:r>
              <w:lastRenderedPageBreak/>
              <w:t>ke skal reguleres både efter KGL § 25, stk. 3, 1. pkt. og efter KGL § 25, stk. 4, nr. 3.</w:t>
            </w:r>
          </w:p>
          <w:p w:rsidR="00DA285B" w:rsidRDefault="00DA285B" w:rsidP="00DA285B">
            <w:pPr>
              <w:pStyle w:val="Tabel-BrdtekstmedafstandptekstGaramond"/>
            </w:pPr>
          </w:p>
          <w:p w:rsidR="00DA285B" w:rsidRPr="00DA285B" w:rsidRDefault="00DA285B" w:rsidP="00DA285B">
            <w:pPr>
              <w:pStyle w:val="Tabel-BrdtekstmedafstandptekstGaramond"/>
              <w:rPr>
                <w:u w:val="single"/>
              </w:rPr>
            </w:pPr>
            <w:r w:rsidRPr="00DA285B">
              <w:rPr>
                <w:u w:val="single"/>
              </w:rPr>
              <w:t xml:space="preserve">§ 3 – Selskabsskatteloven </w:t>
            </w:r>
          </w:p>
          <w:p w:rsidR="00DA285B" w:rsidRPr="00DA285B" w:rsidRDefault="00DA285B" w:rsidP="00DA285B">
            <w:pPr>
              <w:pStyle w:val="Tabel-BrdtekstmedafstandptekstGaramond"/>
              <w:rPr>
                <w:u w:val="single"/>
              </w:rPr>
            </w:pPr>
            <w:r>
              <w:rPr>
                <w:u w:val="single"/>
              </w:rPr>
              <w:t xml:space="preserve">Ændring af </w:t>
            </w:r>
            <w:r w:rsidR="00552710">
              <w:rPr>
                <w:u w:val="single"/>
              </w:rPr>
              <w:t>r</w:t>
            </w:r>
            <w:r w:rsidRPr="00DA285B">
              <w:rPr>
                <w:u w:val="single"/>
              </w:rPr>
              <w:t>entefradragsbegræn</w:t>
            </w:r>
            <w:r w:rsidRPr="00DA285B">
              <w:rPr>
                <w:u w:val="single"/>
              </w:rPr>
              <w:t>s</w:t>
            </w:r>
            <w:r w:rsidRPr="00DA285B">
              <w:rPr>
                <w:u w:val="single"/>
              </w:rPr>
              <w:t>ningen</w:t>
            </w:r>
          </w:p>
          <w:p w:rsidR="003449A1" w:rsidRDefault="00FC7297" w:rsidP="003449A1">
            <w:pPr>
              <w:pStyle w:val="Tabel-BrdtekstmedafstandptekstGaramond"/>
            </w:pPr>
            <w:r>
              <w:t>Skatteministeriet</w:t>
            </w:r>
            <w:r w:rsidR="00CA46A0">
              <w:t xml:space="preserve"> har tidligere </w:t>
            </w:r>
            <w:proofErr w:type="spellStart"/>
            <w:r w:rsidR="00CA46A0">
              <w:t>be</w:t>
            </w:r>
            <w:r w:rsidR="00E84986">
              <w:t>r</w:t>
            </w:r>
            <w:r w:rsidR="00CA46A0">
              <w:t>kræftet</w:t>
            </w:r>
            <w:proofErr w:type="spellEnd"/>
            <w:r w:rsidR="00CA46A0">
              <w:t>, at der i den nuværende r</w:t>
            </w:r>
            <w:r w:rsidR="00CA46A0">
              <w:t>e</w:t>
            </w:r>
            <w:r w:rsidR="00CA46A0">
              <w:t xml:space="preserve">gel </w:t>
            </w:r>
            <w:r>
              <w:t>først skal ske modregning me</w:t>
            </w:r>
            <w:r>
              <w:t>l</w:t>
            </w:r>
            <w:r>
              <w:t>lem kurstab og renteindtægter i det aktuelle år - og først herefter skal ske modregning af kurstab fra tidl</w:t>
            </w:r>
            <w:r>
              <w:t>i</w:t>
            </w:r>
            <w:r>
              <w:t>g</w:t>
            </w:r>
            <w:r w:rsidR="00CA46A0">
              <w:t xml:space="preserve">ere år. </w:t>
            </w:r>
            <w:r w:rsidR="003449A1">
              <w:t>Skatteministeriet bedes b</w:t>
            </w:r>
            <w:r w:rsidR="003449A1">
              <w:t>e</w:t>
            </w:r>
            <w:r w:rsidR="003449A1">
              <w:t>kræfte, at dette også vil være gæ</w:t>
            </w:r>
            <w:r w:rsidR="003449A1">
              <w:t>l</w:t>
            </w:r>
            <w:r w:rsidR="003449A1">
              <w:t>dende i tilfælde af, at der i det efte</w:t>
            </w:r>
            <w:r w:rsidR="003449A1">
              <w:t>r</w:t>
            </w:r>
            <w:r w:rsidR="003449A1">
              <w:t>følgende år er nettorenteudgifter og nettokursgevinster på fordringer</w:t>
            </w:r>
          </w:p>
          <w:p w:rsidR="00FC7297" w:rsidRDefault="00FC7297" w:rsidP="00DA285B">
            <w:pPr>
              <w:pStyle w:val="Tabel-BrdtekstmedafstandptekstGaramond"/>
            </w:pPr>
          </w:p>
          <w:p w:rsidR="00560A15" w:rsidRDefault="00CA46A0" w:rsidP="00CA46A0">
            <w:pPr>
              <w:pStyle w:val="Tabel-BrdtekstmedafstandptekstGaramond"/>
            </w:pPr>
            <w:r>
              <w:t xml:space="preserve">FSR foreslår, at der medtages en yderligere smidiggørelse af reglerne for </w:t>
            </w:r>
            <w:proofErr w:type="spellStart"/>
            <w:r>
              <w:t>renteswaps</w:t>
            </w:r>
            <w:proofErr w:type="spellEnd"/>
            <w:r>
              <w:t xml:space="preserve"> tilknyttet gæld i fast ejendom, hvor der tidligere er in</w:t>
            </w:r>
            <w:r>
              <w:t>d</w:t>
            </w:r>
            <w:r>
              <w:t>ført en lempelse.</w:t>
            </w:r>
          </w:p>
          <w:p w:rsidR="00CA46A0" w:rsidRDefault="00CA46A0" w:rsidP="00CA46A0">
            <w:pPr>
              <w:pStyle w:val="Tabel-BrdtekstmedafstandptekstGaramond"/>
              <w:rPr>
                <w:u w:val="single"/>
              </w:rPr>
            </w:pPr>
          </w:p>
          <w:p w:rsidR="00DA285B" w:rsidRDefault="00DA285B" w:rsidP="00DA285B">
            <w:pPr>
              <w:pStyle w:val="Tabel-BrdtekstmedafstandptekstGaramond"/>
              <w:rPr>
                <w:u w:val="single"/>
              </w:rPr>
            </w:pPr>
            <w:r w:rsidRPr="00552710">
              <w:rPr>
                <w:u w:val="single"/>
              </w:rPr>
              <w:t>Implementering af</w:t>
            </w:r>
            <w:r w:rsidR="00552710" w:rsidRPr="00552710">
              <w:rPr>
                <w:u w:val="single"/>
              </w:rPr>
              <w:t xml:space="preserve"> ændringen </w:t>
            </w:r>
            <w:proofErr w:type="gramStart"/>
            <w:r w:rsidR="00552710" w:rsidRPr="00552710">
              <w:rPr>
                <w:u w:val="single"/>
              </w:rPr>
              <w:t>af  moder</w:t>
            </w:r>
            <w:proofErr w:type="gramEnd"/>
            <w:r w:rsidR="00552710" w:rsidRPr="00552710">
              <w:rPr>
                <w:u w:val="single"/>
              </w:rPr>
              <w:t>-/datterselskabsdirektivet</w:t>
            </w:r>
          </w:p>
          <w:p w:rsidR="00560A15" w:rsidRDefault="00560A15" w:rsidP="00560A15">
            <w:pPr>
              <w:pStyle w:val="Tabel-BrdtekstmedafstandptekstGaramond"/>
            </w:pPr>
            <w:r>
              <w:t>FSR spørger om, hvorvidt ændri</w:t>
            </w:r>
            <w:r>
              <w:t>n</w:t>
            </w:r>
            <w:r>
              <w:t>gen som følge af moder-/datterselskabsdirektivet har ko</w:t>
            </w:r>
            <w:r>
              <w:t>n</w:t>
            </w:r>
            <w:r>
              <w:t>sekvenser i relation til selskabsska</w:t>
            </w:r>
            <w:r>
              <w:t>t</w:t>
            </w:r>
            <w:r>
              <w:t>telovens § 2 B.</w:t>
            </w:r>
          </w:p>
          <w:p w:rsidR="00552710" w:rsidRDefault="00552710" w:rsidP="00DA285B">
            <w:pPr>
              <w:pStyle w:val="Tabel-BrdtekstmedafstandptekstGaramond"/>
            </w:pPr>
          </w:p>
          <w:p w:rsidR="00552710" w:rsidRDefault="00552710" w:rsidP="00DA285B">
            <w:pPr>
              <w:pStyle w:val="Tabel-BrdtekstmedafstandptekstGaramond"/>
            </w:pPr>
          </w:p>
          <w:p w:rsidR="00560A15" w:rsidRDefault="00560A15" w:rsidP="00DA285B">
            <w:pPr>
              <w:pStyle w:val="Tabel-BrdtekstmedafstandptekstGaramond"/>
            </w:pPr>
          </w:p>
          <w:p w:rsidR="00560A15" w:rsidRDefault="00560A15" w:rsidP="00DA285B">
            <w:pPr>
              <w:pStyle w:val="Tabel-BrdtekstmedafstandptekstGaramond"/>
            </w:pPr>
          </w:p>
          <w:p w:rsidR="002E5802" w:rsidRDefault="002E5802" w:rsidP="00DA285B">
            <w:pPr>
              <w:pStyle w:val="Tabel-BrdtekstmedafstandptekstGaramond"/>
            </w:pPr>
          </w:p>
          <w:p w:rsidR="002E5802" w:rsidRDefault="002E5802" w:rsidP="00DA285B">
            <w:pPr>
              <w:pStyle w:val="Tabel-BrdtekstmedafstandptekstGaramond"/>
            </w:pPr>
          </w:p>
          <w:p w:rsidR="002E5802" w:rsidRDefault="002E5802" w:rsidP="00DA285B">
            <w:pPr>
              <w:pStyle w:val="Tabel-BrdtekstmedafstandptekstGaramond"/>
            </w:pPr>
          </w:p>
          <w:p w:rsidR="002E5802" w:rsidRDefault="002E5802" w:rsidP="00DA285B">
            <w:pPr>
              <w:pStyle w:val="Tabel-BrdtekstmedafstandptekstGaramond"/>
            </w:pPr>
          </w:p>
          <w:p w:rsidR="00560A15" w:rsidRDefault="00560A15" w:rsidP="00DA285B">
            <w:pPr>
              <w:pStyle w:val="Tabel-BrdtekstmedafstandptekstGaramond"/>
            </w:pPr>
          </w:p>
          <w:p w:rsidR="002E5802" w:rsidRDefault="002E5802" w:rsidP="00DA285B">
            <w:pPr>
              <w:pStyle w:val="Tabel-BrdtekstmedafstandptekstGaramond"/>
              <w:rPr>
                <w:u w:val="single"/>
              </w:rPr>
            </w:pPr>
          </w:p>
          <w:p w:rsidR="002E5802" w:rsidRDefault="002E5802" w:rsidP="00DA285B">
            <w:pPr>
              <w:pStyle w:val="Tabel-BrdtekstmedafstandptekstGaramond"/>
              <w:rPr>
                <w:u w:val="single"/>
              </w:rPr>
            </w:pPr>
          </w:p>
          <w:p w:rsidR="002E5802" w:rsidRDefault="002E5802" w:rsidP="00DA285B">
            <w:pPr>
              <w:pStyle w:val="Tabel-BrdtekstmedafstandptekstGaramond"/>
              <w:rPr>
                <w:u w:val="single"/>
              </w:rPr>
            </w:pPr>
          </w:p>
          <w:p w:rsidR="0041240A" w:rsidRDefault="0041240A" w:rsidP="00DA285B">
            <w:pPr>
              <w:pStyle w:val="Tabel-BrdtekstmedafstandptekstGaramond"/>
              <w:rPr>
                <w:u w:val="single"/>
              </w:rPr>
            </w:pPr>
          </w:p>
          <w:p w:rsidR="0041240A" w:rsidRDefault="0041240A" w:rsidP="00DA285B">
            <w:pPr>
              <w:pStyle w:val="Tabel-BrdtekstmedafstandptekstGaramond"/>
              <w:rPr>
                <w:u w:val="single"/>
              </w:rPr>
            </w:pPr>
          </w:p>
          <w:p w:rsidR="0041240A" w:rsidRDefault="0041240A" w:rsidP="00DA285B">
            <w:pPr>
              <w:pStyle w:val="Tabel-BrdtekstmedafstandptekstGaramond"/>
              <w:rPr>
                <w:u w:val="single"/>
              </w:rPr>
            </w:pPr>
          </w:p>
          <w:p w:rsidR="0041240A" w:rsidRDefault="0041240A" w:rsidP="00DA285B">
            <w:pPr>
              <w:pStyle w:val="Tabel-BrdtekstmedafstandptekstGaramond"/>
              <w:rPr>
                <w:u w:val="single"/>
              </w:rPr>
            </w:pPr>
          </w:p>
          <w:p w:rsidR="0041240A" w:rsidRDefault="0041240A" w:rsidP="00DA285B">
            <w:pPr>
              <w:pStyle w:val="Tabel-BrdtekstmedafstandptekstGaramond"/>
              <w:rPr>
                <w:u w:val="single"/>
              </w:rPr>
            </w:pPr>
          </w:p>
          <w:p w:rsidR="00552710" w:rsidRDefault="00552710" w:rsidP="00DA285B">
            <w:pPr>
              <w:pStyle w:val="Tabel-BrdtekstmedafstandptekstGaramond"/>
              <w:rPr>
                <w:u w:val="single"/>
              </w:rPr>
            </w:pPr>
            <w:r w:rsidRPr="00552710">
              <w:rPr>
                <w:u w:val="single"/>
              </w:rPr>
              <w:t>§ 6 – Aktieavancebeskatningsloven</w:t>
            </w:r>
          </w:p>
          <w:p w:rsidR="00552710" w:rsidRPr="00552710" w:rsidRDefault="00C41537" w:rsidP="00682E5D">
            <w:pPr>
              <w:pStyle w:val="Tabel-BrdtekstmedafstandptekstGaramond"/>
            </w:pPr>
            <w:r>
              <w:t>FSR ønsker bekræftet, at den for</w:t>
            </w:r>
            <w:r>
              <w:t>e</w:t>
            </w:r>
            <w:r>
              <w:t>slåede udvidelse af reglen i akti</w:t>
            </w:r>
            <w:r>
              <w:t>e</w:t>
            </w:r>
            <w:r>
              <w:t xml:space="preserve">avancebeskatningslovens § 39 A skal have virkning fra den 1. marts </w:t>
            </w:r>
            <w:r w:rsidR="00682E5D">
              <w:t>2</w:t>
            </w:r>
            <w:r>
              <w:t>015</w:t>
            </w:r>
            <w:r w:rsidR="00682E5D">
              <w:t>.</w:t>
            </w:r>
            <w:r>
              <w:t xml:space="preserve"> </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DF6E27" w:rsidRDefault="00DF6E27" w:rsidP="00DF6E27"/>
          <w:p w:rsidR="00DF6E27" w:rsidRDefault="00DF6E27" w:rsidP="00B25ABA">
            <w:pPr>
              <w:ind w:left="249"/>
            </w:pPr>
          </w:p>
          <w:p w:rsidR="00DF6E27" w:rsidRDefault="00DF6E27" w:rsidP="00B25ABA">
            <w:pPr>
              <w:ind w:left="249"/>
            </w:pPr>
            <w:r>
              <w:t>I lighed med den gældende udgave af kildeskattelovens § 10 omfatter b</w:t>
            </w:r>
            <w:r>
              <w:t>e</w:t>
            </w:r>
            <w:r>
              <w:t>stemmelsen også aktiver knyttet til et udenlandsk fast driftssted og fast ejendom i udlandet, hvor Danmark har beskatningsret. Da den foreslåede § 10 i kildeskatteloven er en samme</w:t>
            </w:r>
            <w:r>
              <w:t>n</w:t>
            </w:r>
            <w:r>
              <w:t>skrivning af den gældende § 8 A, stk. 2</w:t>
            </w:r>
            <w:r w:rsidR="00106865">
              <w:t>,</w:t>
            </w:r>
            <w:r>
              <w:t xml:space="preserve"> og § 10 i kildeskatteloven</w:t>
            </w:r>
            <w:r w:rsidR="00106865">
              <w:t>,</w:t>
            </w:r>
            <w:r>
              <w:t xml:space="preserve"> omfatter bestemmelsen også eventuelle avancer og ikke kun genvundne afskrivninger, idet bestemmelsen samtidig foreslås udvidet til også at omfatte exitbeska</w:t>
            </w:r>
            <w:r>
              <w:t>t</w:t>
            </w:r>
            <w:r>
              <w:t>ning af avancer på fast ejendom i u</w:t>
            </w:r>
            <w:r>
              <w:t>d</w:t>
            </w:r>
            <w:r>
              <w:t xml:space="preserve">landet. </w:t>
            </w:r>
          </w:p>
          <w:p w:rsidR="00DF6E27" w:rsidRDefault="00DF6E27" w:rsidP="00B25ABA">
            <w:pPr>
              <w:ind w:left="249"/>
            </w:pPr>
          </w:p>
          <w:p w:rsidR="00DF6E27" w:rsidRDefault="00DF6E27" w:rsidP="00B25ABA">
            <w:pPr>
              <w:ind w:left="249"/>
            </w:pPr>
            <w:r>
              <w:t>I forhold til den foreslåedes beste</w:t>
            </w:r>
            <w:r>
              <w:t>m</w:t>
            </w:r>
            <w:r>
              <w:t xml:space="preserve">melse om hypotetisk </w:t>
            </w:r>
            <w:proofErr w:type="spellStart"/>
            <w:r>
              <w:t>credit</w:t>
            </w:r>
            <w:proofErr w:type="spellEnd"/>
            <w:r>
              <w:t>, så vil d</w:t>
            </w:r>
            <w:r>
              <w:t>o</w:t>
            </w:r>
            <w:r>
              <w:t xml:space="preserve">kumentation for berettigelsen heraf bl.a. kunne udgøres af de relevante lovregler om afståelsesbeskatning og skatteberegning i det pågældende </w:t>
            </w:r>
            <w:r>
              <w:lastRenderedPageBreak/>
              <w:t>land. Der vil ikke skulle tages hensyn til eventuelle genanbringelsesmuli</w:t>
            </w:r>
            <w:r>
              <w:t>g</w:t>
            </w:r>
            <w:r>
              <w:t xml:space="preserve">heder. </w:t>
            </w:r>
          </w:p>
          <w:p w:rsidR="00DF6E27" w:rsidRDefault="00DF6E27" w:rsidP="00B02772">
            <w:pPr>
              <w:pStyle w:val="Tabel-BrdtekstmedafstandptekstGaramond"/>
            </w:pPr>
          </w:p>
          <w:p w:rsidR="00560A15" w:rsidRDefault="00560A15" w:rsidP="00B02772">
            <w:pPr>
              <w:pStyle w:val="Tabel-BrdtekstmedafstandptekstGaramond"/>
            </w:pPr>
          </w:p>
          <w:p w:rsidR="005E1892" w:rsidRDefault="005E1892" w:rsidP="00B02772">
            <w:pPr>
              <w:pStyle w:val="Tabel-BrdtekstmedafstandptekstGaramond"/>
            </w:pPr>
          </w:p>
          <w:p w:rsidR="00C41537" w:rsidRDefault="00BE6ED7" w:rsidP="00C41537">
            <w:pPr>
              <w:pStyle w:val="Tabel-BrdtekstmedafstandptekstGaramond"/>
            </w:pPr>
            <w:r>
              <w:t>Det er opfattelsen, at den foreslå</w:t>
            </w:r>
            <w:r>
              <w:t>e</w:t>
            </w:r>
            <w:r>
              <w:t>de henstandsordning med krav om en afdragsvis betaling er i overen</w:t>
            </w:r>
            <w:r>
              <w:t>s</w:t>
            </w:r>
            <w:r>
              <w:t xml:space="preserve">stemmelse med EU-retten. Det er </w:t>
            </w:r>
            <w:r w:rsidR="00C41537">
              <w:t xml:space="preserve">således </w:t>
            </w:r>
            <w:r>
              <w:t>opfattelsen</w:t>
            </w:r>
            <w:r w:rsidR="00C41537">
              <w:t>,</w:t>
            </w:r>
            <w:r>
              <w:t xml:space="preserve"> at der ikke skal tages hensyn til, hvorvidt aktivet er omsætteligt eller ej. Se i den forbi</w:t>
            </w:r>
            <w:r>
              <w:t>n</w:t>
            </w:r>
            <w:r>
              <w:t xml:space="preserve">delse domspræmis 37 i C-261/11 og domspræmis 53 i C-164/12 (DMC-dommen). Endvidere kan henvises til, at EU-Domstolen i DMC-dommen har udtalt, </w:t>
            </w:r>
            <w:r w:rsidR="00C41537">
              <w:t>at en r</w:t>
            </w:r>
            <w:r w:rsidR="00C41537">
              <w:t>a</w:t>
            </w:r>
            <w:r w:rsidR="00C41537">
              <w:t>tebetaling over 5 år af den skat, der skal betales, inden den faktiske re</w:t>
            </w:r>
            <w:r w:rsidR="00C41537">
              <w:t>a</w:t>
            </w:r>
            <w:r w:rsidR="00C41537">
              <w:t>lisering af de latente kapitalgevi</w:t>
            </w:r>
            <w:r w:rsidR="00C41537">
              <w:t>n</w:t>
            </w:r>
            <w:r w:rsidR="00C41537">
              <w:t>ster, udgør en passende og propo</w:t>
            </w:r>
            <w:r w:rsidR="00C41537">
              <w:t>r</w:t>
            </w:r>
            <w:r w:rsidR="00C41537">
              <w:t xml:space="preserve">tional foranstaltning. </w:t>
            </w:r>
          </w:p>
          <w:p w:rsidR="00560A15" w:rsidRDefault="00560A15" w:rsidP="00B02772">
            <w:pPr>
              <w:pStyle w:val="Tabel-BrdtekstmedafstandptekstGaramond"/>
            </w:pPr>
          </w:p>
          <w:p w:rsidR="00560A15" w:rsidRDefault="00560A15" w:rsidP="00B02772">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456FE8" w:rsidRDefault="00456FE8"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106865" w:rsidRDefault="00106865" w:rsidP="00900BF3">
            <w:pPr>
              <w:pStyle w:val="Tabel-BrdtekstmedafstandptekstGaramond"/>
            </w:pPr>
          </w:p>
          <w:p w:rsidR="00900BF3" w:rsidRDefault="00900BF3" w:rsidP="00900BF3">
            <w:pPr>
              <w:pStyle w:val="Tabel-BrdtekstmedafstandptekstGaramond"/>
            </w:pPr>
            <w:r>
              <w:t>Med lovforslaget foreslås alene æ</w:t>
            </w:r>
            <w:r>
              <w:t>n</w:t>
            </w:r>
            <w:r>
              <w:t>dringer i opgørelsesprincipperne for fordringer, der ikke i dag er o</w:t>
            </w:r>
            <w:r>
              <w:t>m</w:t>
            </w:r>
            <w:r>
              <w:t>fattet af hovedreglen for selskabers opgørelse af gevinst og tab på fo</w:t>
            </w:r>
            <w:r>
              <w:t>r</w:t>
            </w:r>
            <w:r>
              <w:t>dringer, hvorefter det almindelige (tvungne) lagerprincip finder a</w:t>
            </w:r>
            <w:r>
              <w:t>n</w:t>
            </w:r>
            <w:r>
              <w:t>vendelse både for så vidt angår v</w:t>
            </w:r>
            <w:r>
              <w:t>a</w:t>
            </w:r>
            <w:r>
              <w:t>lutadelen som fordringsdelen. De foreslåede ændringer vedrører sål</w:t>
            </w:r>
            <w:r>
              <w:t>e</w:t>
            </w:r>
            <w:r>
              <w:t>des bl.a. koncerninterne fordringer og vederlagsfordringer, der pga. særlige hensyn (fx den asymmetr</w:t>
            </w:r>
            <w:r>
              <w:t>i</w:t>
            </w:r>
            <w:r>
              <w:t>ske beskatning af koncerninterne fordringer) er undtaget fra det tvungne lagerprincip. Der ses ikke tilsvarende at gøre sig særlige he</w:t>
            </w:r>
            <w:r>
              <w:t>n</w:t>
            </w:r>
            <w:r>
              <w:t>syn gældende for de nævnte rent</w:t>
            </w:r>
            <w:r>
              <w:t>e</w:t>
            </w:r>
            <w:r>
              <w:t xml:space="preserve">fordringer, som kan begrunde en undtagelse fra det almindelige (tvungne) lagerprincip. </w:t>
            </w: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900BF3" w:rsidRDefault="00900BF3" w:rsidP="00900BF3">
            <w:pPr>
              <w:pStyle w:val="Tabel-BrdtekstmedafstandptekstGaramond"/>
            </w:pPr>
          </w:p>
          <w:p w:rsidR="006802DB" w:rsidRDefault="006802DB" w:rsidP="00900BF3">
            <w:pPr>
              <w:pStyle w:val="Tabel-BrdtekstmedafstandptekstGaramond"/>
            </w:pPr>
          </w:p>
          <w:p w:rsidR="006802DB" w:rsidRDefault="006802DB" w:rsidP="00900BF3">
            <w:pPr>
              <w:pStyle w:val="Tabel-BrdtekstmedafstandptekstGaramond"/>
            </w:pPr>
          </w:p>
          <w:p w:rsidR="006802DB" w:rsidRDefault="006802DB" w:rsidP="00900BF3">
            <w:pPr>
              <w:pStyle w:val="Tabel-BrdtekstmedafstandptekstGaramond"/>
            </w:pPr>
          </w:p>
          <w:p w:rsidR="00560A15" w:rsidRDefault="00900BF3" w:rsidP="00900BF3">
            <w:pPr>
              <w:pStyle w:val="Tabel-BrdtekstmedafstandptekstGaramond"/>
            </w:pPr>
            <w:r>
              <w:t>Som nævnt ovenfor medfører fo</w:t>
            </w:r>
            <w:r>
              <w:t>r</w:t>
            </w:r>
            <w:r>
              <w:t>slaget ikke ændring af reglerne for fordringer, der i dag er omfattet af det almindelige (tvungne) lage</w:t>
            </w:r>
            <w:r>
              <w:t>r</w:t>
            </w:r>
            <w:r>
              <w:t>princip. Præciseringen i forslaget til kursgevinstlovens § 25, stk. 4, 3. pkt., af, hvordan opgørelsen af g</w:t>
            </w:r>
            <w:r>
              <w:t>e</w:t>
            </w:r>
            <w:r>
              <w:t>vinst og tab skal ske, har derfor alene relevans for fordringer omfa</w:t>
            </w:r>
            <w:r>
              <w:t>t</w:t>
            </w:r>
            <w:r>
              <w:t>tet af § 25, stk. 4. De fordringer, der bliver berørt af forslaget, er de fordringer, der fremgår af opre</w:t>
            </w:r>
            <w:r>
              <w:t>g</w:t>
            </w:r>
            <w:r w:rsidR="006802DB">
              <w:t>ningen i forslaget til kursge</w:t>
            </w:r>
            <w:r>
              <w:t>vinstl</w:t>
            </w:r>
            <w:r>
              <w:t>o</w:t>
            </w:r>
            <w:r>
              <w:t>vens § 25, stk. 4, 2. pkt., dvs. ko</w:t>
            </w:r>
            <w:r>
              <w:t>n</w:t>
            </w:r>
            <w:r>
              <w:t>cerninterne fordringer, vederlags-fordringer, øvrige fordringer, gæld optaget til handel på et reguleret marked og valutakursændringer på fordringer og gæld i fremmed val</w:t>
            </w:r>
            <w:r>
              <w:t>u</w:t>
            </w:r>
            <w:r>
              <w:t>ta. Kategorien ”øvrige fordringer” er ifølge bemærkningerne til lov nr. 525 af 12. juni 2009 (Forårspakke 2.0) en restgruppe, der er taget med for en sikkerheds skyld.  Kategor</w:t>
            </w:r>
            <w:r>
              <w:t>i</w:t>
            </w:r>
            <w:r>
              <w:t>en ”øvrige fordringer” er således ikke en henvisning til fordringer, der falder udenfor kursgevinstl</w:t>
            </w:r>
            <w:r>
              <w:t>o</w:t>
            </w:r>
            <w:r>
              <w:t>vens § 25, stk. 4. Dette er tydeli</w:t>
            </w:r>
            <w:r>
              <w:t>g</w:t>
            </w:r>
            <w:r>
              <w:t>gjort i bemærkningerne til lo</w:t>
            </w:r>
            <w:r>
              <w:t>v</w:t>
            </w:r>
            <w:r>
              <w:t>forslaget.</w:t>
            </w:r>
          </w:p>
          <w:p w:rsidR="00560A15" w:rsidRDefault="00560A15" w:rsidP="00B02772">
            <w:pPr>
              <w:pStyle w:val="Tabel-BrdtekstmedafstandptekstGaramond"/>
            </w:pPr>
          </w:p>
          <w:p w:rsidR="00560A15" w:rsidRDefault="00560A15" w:rsidP="00B02772">
            <w:pPr>
              <w:pStyle w:val="Tabel-BrdtekstmedafstandptekstGaramond"/>
            </w:pPr>
          </w:p>
          <w:p w:rsidR="00560A15" w:rsidRDefault="00560A15" w:rsidP="00B02772">
            <w:pPr>
              <w:pStyle w:val="Tabel-BrdtekstmedafstandptekstGaramond"/>
            </w:pPr>
          </w:p>
          <w:p w:rsidR="00560A15" w:rsidRDefault="00560A15" w:rsidP="00B02772">
            <w:pPr>
              <w:pStyle w:val="Tabel-BrdtekstmedafstandptekstGaramond"/>
            </w:pPr>
          </w:p>
          <w:p w:rsidR="00900BF3" w:rsidRDefault="00900BF3" w:rsidP="00B02772">
            <w:pPr>
              <w:pStyle w:val="Tabel-BrdtekstmedafstandptekstGaramond"/>
            </w:pPr>
          </w:p>
          <w:p w:rsidR="00900BF3" w:rsidRDefault="00900BF3" w:rsidP="00B02772">
            <w:pPr>
              <w:pStyle w:val="Tabel-BrdtekstmedafstandptekstGaramond"/>
            </w:pPr>
          </w:p>
          <w:p w:rsidR="00900BF3" w:rsidRDefault="00900BF3" w:rsidP="00B02772">
            <w:pPr>
              <w:pStyle w:val="Tabel-BrdtekstmedafstandptekstGaramond"/>
            </w:pPr>
          </w:p>
          <w:p w:rsidR="00900BF3" w:rsidRDefault="00900BF3" w:rsidP="00B02772">
            <w:pPr>
              <w:pStyle w:val="Tabel-BrdtekstmedafstandptekstGaramond"/>
            </w:pPr>
          </w:p>
          <w:p w:rsidR="00900BF3" w:rsidRDefault="00900BF3" w:rsidP="00900BF3">
            <w:pPr>
              <w:pStyle w:val="Tabel-BrdtekstmedafstandptekstGaramond"/>
              <w:ind w:left="0"/>
            </w:pPr>
          </w:p>
          <w:p w:rsidR="00FC7297" w:rsidRDefault="003449A1" w:rsidP="002E5802">
            <w:pPr>
              <w:pStyle w:val="Tabel-BrdtekstmedafstandptekstGaramond"/>
            </w:pPr>
            <w:r>
              <w:t>Det kan bekræftes</w:t>
            </w:r>
            <w:r w:rsidR="00DB1ACB">
              <w:t xml:space="preserve">, at der først sker modregning mellem årets </w:t>
            </w:r>
            <w:r w:rsidR="00B062A6">
              <w:t>rente</w:t>
            </w:r>
            <w:r w:rsidR="00DB1ACB">
              <w:t>u</w:t>
            </w:r>
            <w:r w:rsidR="00DB1ACB">
              <w:t>d</w:t>
            </w:r>
            <w:r w:rsidR="00DB1ACB">
              <w:t>gifter/</w:t>
            </w:r>
            <w:r w:rsidR="00B062A6">
              <w:t>kurs</w:t>
            </w:r>
            <w:r w:rsidR="00DB1ACB">
              <w:t xml:space="preserve">tab og </w:t>
            </w:r>
            <w:r w:rsidR="00B062A6">
              <w:t>rente</w:t>
            </w:r>
            <w:r w:rsidR="00DB1ACB">
              <w:t>indtæ</w:t>
            </w:r>
            <w:r w:rsidR="00DB1ACB">
              <w:t>g</w:t>
            </w:r>
            <w:r w:rsidR="00DB1ACB">
              <w:t>ter/</w:t>
            </w:r>
            <w:r w:rsidR="00B062A6">
              <w:t>kurs</w:t>
            </w:r>
            <w:r w:rsidR="00DB1ACB">
              <w:t>gevinster – og derefter sker modregning af kurstab fra tidligere år</w:t>
            </w:r>
            <w:r>
              <w:t>.</w:t>
            </w:r>
          </w:p>
          <w:p w:rsidR="00FC7297" w:rsidRDefault="00FC7297" w:rsidP="002E5802">
            <w:pPr>
              <w:pStyle w:val="Tabel-BrdtekstmedafstandptekstGaramond"/>
            </w:pPr>
          </w:p>
          <w:p w:rsidR="00CA46A0" w:rsidRDefault="00CA46A0" w:rsidP="002E5802">
            <w:pPr>
              <w:pStyle w:val="Tabel-BrdtekstmedafstandptekstGaramond"/>
            </w:pPr>
          </w:p>
          <w:p w:rsidR="00FC7297" w:rsidRDefault="00FC7297" w:rsidP="002E5802">
            <w:pPr>
              <w:pStyle w:val="Tabel-BrdtekstmedafstandptekstGaramond"/>
            </w:pPr>
          </w:p>
          <w:p w:rsidR="00FC7297" w:rsidRDefault="00FC7297" w:rsidP="002E5802">
            <w:pPr>
              <w:pStyle w:val="Tabel-BrdtekstmedafstandptekstGaramond"/>
            </w:pPr>
          </w:p>
          <w:p w:rsidR="003449A1" w:rsidRDefault="003449A1" w:rsidP="002E5802">
            <w:pPr>
              <w:pStyle w:val="Tabel-BrdtekstmedafstandptekstGaramond"/>
            </w:pPr>
          </w:p>
          <w:p w:rsidR="00CA46A0" w:rsidRDefault="00CA46A0" w:rsidP="002E5802">
            <w:pPr>
              <w:pStyle w:val="Tabel-BrdtekstmedafstandptekstGaramond"/>
            </w:pPr>
          </w:p>
          <w:p w:rsidR="00CA46A0" w:rsidRDefault="00FF7285" w:rsidP="002E5802">
            <w:pPr>
              <w:pStyle w:val="Tabel-BrdtekstmedafstandptekstGaramond"/>
            </w:pPr>
            <w:r>
              <w:t>Der henvises til kommentarerne til Finansrådet.</w:t>
            </w:r>
          </w:p>
          <w:p w:rsidR="00CA46A0" w:rsidRDefault="00CA46A0" w:rsidP="002E5802">
            <w:pPr>
              <w:pStyle w:val="Tabel-BrdtekstmedafstandptekstGaramond"/>
            </w:pPr>
          </w:p>
          <w:p w:rsidR="00CA46A0" w:rsidRDefault="00CA46A0" w:rsidP="002E5802">
            <w:pPr>
              <w:pStyle w:val="Tabel-BrdtekstmedafstandptekstGaramond"/>
            </w:pPr>
          </w:p>
          <w:p w:rsidR="00CA46A0" w:rsidRDefault="00CA46A0" w:rsidP="002E5802">
            <w:pPr>
              <w:pStyle w:val="Tabel-BrdtekstmedafstandptekstGaramond"/>
            </w:pPr>
          </w:p>
          <w:p w:rsidR="00CA46A0" w:rsidRDefault="00CA46A0" w:rsidP="002E5802">
            <w:pPr>
              <w:pStyle w:val="Tabel-BrdtekstmedafstandptekstGaramond"/>
            </w:pPr>
          </w:p>
          <w:p w:rsidR="00CA46A0" w:rsidRDefault="00CA46A0" w:rsidP="002E5802">
            <w:pPr>
              <w:pStyle w:val="Tabel-BrdtekstmedafstandptekstGaramond"/>
            </w:pPr>
          </w:p>
          <w:p w:rsidR="00CA46A0" w:rsidRDefault="00CA46A0" w:rsidP="002E5802">
            <w:pPr>
              <w:pStyle w:val="Tabel-BrdtekstmedafstandptekstGaramond"/>
            </w:pPr>
          </w:p>
          <w:p w:rsidR="00560A15" w:rsidRDefault="00560A15" w:rsidP="002E5802">
            <w:pPr>
              <w:pStyle w:val="Tabel-BrdtekstmedafstandptekstGaramond"/>
            </w:pPr>
            <w:r>
              <w:t>De</w:t>
            </w:r>
            <w:r w:rsidR="00FA2D05">
              <w:t>n</w:t>
            </w:r>
            <w:r>
              <w:t xml:space="preserve"> har ingen konsekvenser. </w:t>
            </w:r>
            <w:r w:rsidR="0041240A">
              <w:t>Æ</w:t>
            </w:r>
            <w:r w:rsidR="0041240A">
              <w:t>n</w:t>
            </w:r>
            <w:r w:rsidR="0041240A">
              <w:t>dringen som følge af moder-/datterselskabsdirektivet omhan</w:t>
            </w:r>
            <w:r w:rsidR="0041240A">
              <w:t>d</w:t>
            </w:r>
            <w:r w:rsidR="0041240A">
              <w:t>ler den situation, hvor et dansk mode</w:t>
            </w:r>
            <w:r w:rsidR="00E84986">
              <w:t>r</w:t>
            </w:r>
            <w:r w:rsidR="0041240A">
              <w:t xml:space="preserve">selskab modtager udbytte fra et udenlandsk datterselskab. </w:t>
            </w:r>
            <w:r>
              <w:t>Se</w:t>
            </w:r>
            <w:r>
              <w:t>l</w:t>
            </w:r>
            <w:r>
              <w:t xml:space="preserve">skabsskattelovens § 2 B omhandler den omvendte situation, </w:t>
            </w:r>
            <w:r w:rsidR="0041240A">
              <w:t>dvs. hvor betalingen går ud af landet. Da</w:t>
            </w:r>
            <w:r w:rsidR="0041240A">
              <w:t>n</w:t>
            </w:r>
            <w:r w:rsidR="0041240A">
              <w:t xml:space="preserve">mark </w:t>
            </w:r>
            <w:r>
              <w:t>er kildelandet for betalingen</w:t>
            </w:r>
            <w:r w:rsidR="002E5802">
              <w:t xml:space="preserve">. </w:t>
            </w:r>
            <w:r w:rsidR="0041240A">
              <w:t xml:space="preserve">Selskabsskattelovens § 2 B </w:t>
            </w:r>
            <w:r>
              <w:t>medf</w:t>
            </w:r>
            <w:r>
              <w:t>ø</w:t>
            </w:r>
            <w:r>
              <w:t xml:space="preserve">rer, at Danmark </w:t>
            </w:r>
            <w:r w:rsidR="002E5802">
              <w:t>anser kapitalen for at være egenkapital</w:t>
            </w:r>
            <w:r>
              <w:t xml:space="preserve">, når det andet land anser kapitalen for at være indskudt kapital. </w:t>
            </w:r>
            <w:r w:rsidR="002E5802">
              <w:t>Betalingen betra</w:t>
            </w:r>
            <w:r w:rsidR="002E5802">
              <w:t>g</w:t>
            </w:r>
            <w:r w:rsidR="002E5802">
              <w:t>tes dermed som et udbytte</w:t>
            </w:r>
            <w:r w:rsidR="00FC7297">
              <w:t>, som i</w:t>
            </w:r>
            <w:r w:rsidR="00FC7297">
              <w:t>k</w:t>
            </w:r>
            <w:r w:rsidR="00FC7297">
              <w:t>ke er fradragsberettiget</w:t>
            </w:r>
            <w:r w:rsidR="002E5802">
              <w:t xml:space="preserve">. Hvis det </w:t>
            </w:r>
            <w:r w:rsidR="002E5802">
              <w:lastRenderedPageBreak/>
              <w:t>andet selskab er hjemmehørende i et EU land, vil dette land ikke være forpligtet efter direktivet til at b</w:t>
            </w:r>
            <w:r w:rsidR="002E5802">
              <w:t>e</w:t>
            </w:r>
            <w:r w:rsidR="002E5802">
              <w:t>skatte, da Danmark ikke giver fr</w:t>
            </w:r>
            <w:r w:rsidR="002E5802">
              <w:t>a</w:t>
            </w:r>
            <w:r w:rsidR="002E5802">
              <w:t>drag for betalingen.</w:t>
            </w:r>
          </w:p>
          <w:p w:rsidR="00C41537" w:rsidRDefault="00C41537" w:rsidP="002E5802">
            <w:pPr>
              <w:pStyle w:val="Tabel-BrdtekstmedafstandptekstGaramond"/>
            </w:pPr>
          </w:p>
          <w:p w:rsidR="00C41537" w:rsidRPr="00B5346F" w:rsidRDefault="00C41537" w:rsidP="002E5802">
            <w:pPr>
              <w:pStyle w:val="Tabel-BrdtekstmedafstandptekstGaramond"/>
            </w:pPr>
            <w:r>
              <w:t xml:space="preserve">Det kan bekræftes, at udvidelsen finder anvendelse på tilbagesalg af denne karakter, der finder sted den 1. marts 2015 eller senere. </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Default="00F40708" w:rsidP="00815F28">
            <w:pPr>
              <w:pStyle w:val="Tabel-BrdtekstmedafstandptekstGaramond"/>
              <w:rPr>
                <w:i/>
              </w:rPr>
            </w:pPr>
            <w:r>
              <w:rPr>
                <w:i/>
              </w:rPr>
              <w:lastRenderedPageBreak/>
              <w:t>Landbrug og Fødevarer</w:t>
            </w:r>
          </w:p>
          <w:p w:rsidR="00F40708" w:rsidRDefault="00F40708" w:rsidP="00815F28">
            <w:pPr>
              <w:pStyle w:val="Tabel-BrdtekstmedafstandptekstGaramond"/>
              <w:rPr>
                <w:i/>
              </w:rPr>
            </w:pPr>
            <w:proofErr w:type="spellStart"/>
            <w:r>
              <w:rPr>
                <w:i/>
              </w:rPr>
              <w:t>Videncentret</w:t>
            </w:r>
            <w:proofErr w:type="spellEnd"/>
            <w:r>
              <w:rPr>
                <w:i/>
              </w:rPr>
              <w:t xml:space="preserve"> for lan</w:t>
            </w:r>
            <w:r>
              <w:rPr>
                <w:i/>
              </w:rPr>
              <w:t>d</w:t>
            </w:r>
            <w:r>
              <w:rPr>
                <w:i/>
              </w:rPr>
              <w:t>brug</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F40708" w:rsidRPr="00552710" w:rsidRDefault="00552710" w:rsidP="00B02772">
            <w:pPr>
              <w:pStyle w:val="Tabel-BrdtekstmedafstandptekstGaramond"/>
              <w:rPr>
                <w:u w:val="single"/>
              </w:rPr>
            </w:pPr>
            <w:r w:rsidRPr="00552710">
              <w:rPr>
                <w:u w:val="single"/>
              </w:rPr>
              <w:t>Ændring af forpagterreglen i LL § 7 Y</w:t>
            </w:r>
          </w:p>
          <w:p w:rsidR="00552710" w:rsidRDefault="00C439DF" w:rsidP="00B02772">
            <w:pPr>
              <w:pStyle w:val="Tabel-BrdtekstmedafstandptekstGaramond"/>
            </w:pPr>
            <w:r w:rsidRPr="00C439DF">
              <w:t xml:space="preserve">Landbrug og Fødevarer foreslår, at ikrafttrædelsesbestemmelsen </w:t>
            </w:r>
            <w:r>
              <w:t>æ</w:t>
            </w:r>
            <w:r>
              <w:t>n</w:t>
            </w:r>
            <w:r>
              <w:t>dres, så tidligere forpagtere, der s</w:t>
            </w:r>
            <w:r>
              <w:t>i</w:t>
            </w:r>
            <w:r>
              <w:t>den 2006 og indtil den 1. marts 2015 har overdraget rettigheder til bortforpagtere, hvor rettighedernes værdi er steget</w:t>
            </w:r>
            <w:r w:rsidR="00C91DB7">
              <w:t>, også omfattes</w:t>
            </w:r>
            <w:r>
              <w:t>. Di</w:t>
            </w:r>
            <w:r>
              <w:t>s</w:t>
            </w:r>
            <w:r>
              <w:t>se har overdraget i den tro, at de var omfattet af LL § 7</w:t>
            </w:r>
            <w:r w:rsidR="00C91DB7">
              <w:t xml:space="preserve"> Y</w:t>
            </w:r>
            <w:r>
              <w:t>.</w:t>
            </w:r>
            <w:r w:rsidRPr="00C439DF">
              <w:t xml:space="preserve"> </w:t>
            </w:r>
          </w:p>
          <w:p w:rsidR="000E3134" w:rsidRDefault="000E3134" w:rsidP="00B02772">
            <w:pPr>
              <w:pStyle w:val="Tabel-BrdtekstmedafstandptekstGaramond"/>
            </w:pPr>
          </w:p>
          <w:p w:rsidR="000E3134" w:rsidRDefault="000E3134" w:rsidP="00B02772">
            <w:pPr>
              <w:pStyle w:val="Tabel-BrdtekstmedafstandptekstGaramond"/>
            </w:pPr>
            <w:r>
              <w:t>Landbrug og Fødevarer foreslår</w:t>
            </w:r>
            <w:r w:rsidR="00154C95">
              <w:t>, at</w:t>
            </w:r>
            <w:r>
              <w:t xml:space="preserve"> formuleringen ”på grundlag af den oprindelige forpagtning” udgår af lovteksten. Ved at sætte maksimum i relation til den oprindelige fo</w:t>
            </w:r>
            <w:r>
              <w:t>r</w:t>
            </w:r>
            <w:r>
              <w:t>pagtningsaftale, er det kun en del af de rettigheder, forpagter fik tildelt, der er maksimum. Hidtil har ma</w:t>
            </w:r>
            <w:r>
              <w:t>k</w:t>
            </w:r>
            <w:r>
              <w:t>simum været alle rettigheder, fo</w:t>
            </w:r>
            <w:r>
              <w:t>r</w:t>
            </w:r>
            <w:r>
              <w:t>pagteren fik tildelt.</w:t>
            </w:r>
          </w:p>
          <w:p w:rsidR="000E3134" w:rsidRDefault="000E3134" w:rsidP="00B02772">
            <w:pPr>
              <w:pStyle w:val="Tabel-BrdtekstmedafstandptekstGaramond"/>
            </w:pPr>
          </w:p>
          <w:p w:rsidR="000E3134" w:rsidRPr="00C439DF" w:rsidRDefault="008E449C" w:rsidP="00B02772">
            <w:pPr>
              <w:pStyle w:val="Tabel-BrdtekstmedafstandptekstGaramond"/>
            </w:pPr>
            <w:r>
              <w:t>Landbrug og Fødevarer foreslår en ændring af den foreslåede LL § 7 Y, stk. 2, 4. pkt., så det klart fremgår</w:t>
            </w:r>
            <w:r w:rsidR="00682E5D">
              <w:t>,</w:t>
            </w:r>
            <w:r>
              <w:t xml:space="preserve"> at den situation, hvor forpagter 1 i 2005 havde videreforpagtet helt e</w:t>
            </w:r>
            <w:r>
              <w:t>l</w:t>
            </w:r>
            <w:r>
              <w:t>ler delvist til forpagter 2</w:t>
            </w:r>
            <w:r w:rsidR="00682E5D">
              <w:t>,</w:t>
            </w:r>
            <w:r w:rsidR="00087051">
              <w:t xml:space="preserve"> er omfa</w:t>
            </w:r>
            <w:r w:rsidR="00087051">
              <w:t>t</w:t>
            </w:r>
            <w:r w:rsidR="00087051">
              <w:t>tet af bestemmelsen</w:t>
            </w:r>
            <w:r>
              <w:t>. Desuden ø</w:t>
            </w:r>
            <w:r>
              <w:t>n</w:t>
            </w:r>
            <w:r>
              <w:t>skes præciseret, at maksimum a</w:t>
            </w:r>
            <w:r>
              <w:t>n</w:t>
            </w:r>
            <w:r>
              <w:lastRenderedPageBreak/>
              <w:t>talsmæssig</w:t>
            </w:r>
            <w:r w:rsidR="0041240A">
              <w:t>t</w:t>
            </w:r>
            <w:r>
              <w:t xml:space="preserve"> er de betalingsrettigh</w:t>
            </w:r>
            <w:r>
              <w:t>e</w:t>
            </w:r>
            <w:r>
              <w:t>der, der er tildelt ved førstegang</w:t>
            </w:r>
            <w:r>
              <w:t>s</w:t>
            </w:r>
            <w:r>
              <w:t>tildelingen, tillagt den oprindelige værdi af de rettigheder</w:t>
            </w:r>
            <w:r w:rsidR="00087051">
              <w:t>, man har f</w:t>
            </w:r>
            <w:r w:rsidR="00087051">
              <w:t>å</w:t>
            </w:r>
            <w:r w:rsidR="00087051">
              <w:t>et efter forpagterreglen.</w:t>
            </w:r>
            <w:r>
              <w:t xml:space="preserve">  </w:t>
            </w:r>
          </w:p>
          <w:p w:rsidR="00552710" w:rsidRPr="00C439DF" w:rsidRDefault="00552710" w:rsidP="00B02772">
            <w:pPr>
              <w:pStyle w:val="Tabel-BrdtekstmedafstandptekstGaramond"/>
            </w:pPr>
          </w:p>
          <w:p w:rsidR="00552710" w:rsidRPr="00C439DF" w:rsidRDefault="00552710" w:rsidP="00B02772">
            <w:pPr>
              <w:pStyle w:val="Tabel-BrdtekstmedafstandptekstGaramond"/>
              <w:rPr>
                <w:u w:val="single"/>
              </w:rPr>
            </w:pPr>
            <w:r w:rsidRPr="00C439DF">
              <w:rPr>
                <w:u w:val="single"/>
              </w:rPr>
              <w:t>Mælkekvoter</w:t>
            </w:r>
          </w:p>
          <w:p w:rsidR="00552710" w:rsidRPr="00C439DF" w:rsidRDefault="00087051" w:rsidP="00552710">
            <w:pPr>
              <w:pStyle w:val="Tabel-BrdtekstmedafstandptekstGaramond"/>
            </w:pPr>
            <w:r>
              <w:t>Landbrug og Fødevarer gør o</w:t>
            </w:r>
            <w:r>
              <w:t>p</w:t>
            </w:r>
            <w:r>
              <w:t>mærksom på, at der mangler en konsekvensændring i EBL § 5, stk. 5, nr. 5, som følge af den foreslåede EBL § 5, stk. 4, nr. 7.</w:t>
            </w:r>
          </w:p>
          <w:p w:rsidR="00087051" w:rsidRDefault="00087051" w:rsidP="00552710">
            <w:pPr>
              <w:pStyle w:val="Tabel-BrdtekstmedafstandptekstGaramond"/>
              <w:rPr>
                <w:u w:val="single"/>
              </w:rPr>
            </w:pPr>
          </w:p>
          <w:p w:rsidR="00552710" w:rsidRPr="00260AF1" w:rsidRDefault="00552710" w:rsidP="00552710">
            <w:pPr>
              <w:pStyle w:val="Tabel-BrdtekstmedafstandptekstGaramond"/>
              <w:rPr>
                <w:u w:val="single"/>
              </w:rPr>
            </w:pPr>
            <w:r w:rsidRPr="00260AF1">
              <w:rPr>
                <w:u w:val="single"/>
              </w:rPr>
              <w:t>Beskatningstidspunkter KGL</w:t>
            </w:r>
          </w:p>
          <w:p w:rsidR="00470810" w:rsidRDefault="00470810" w:rsidP="00470810">
            <w:pPr>
              <w:pStyle w:val="Tabel-BrdtekstmedafstandptekstGaramond"/>
            </w:pPr>
            <w:r>
              <w:t>Det anføres, at det generelt bør præciseres, at omkostninger også medregnes år 1 ved lagerprincippet.</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Pr="00456FE8" w:rsidRDefault="00470810" w:rsidP="00470810">
            <w:pPr>
              <w:pStyle w:val="Tabel-BrdtekstmedafstandptekstGaramond"/>
              <w:rPr>
                <w:i/>
              </w:rPr>
            </w:pPr>
            <w:r w:rsidRPr="00456FE8">
              <w:rPr>
                <w:i/>
              </w:rPr>
              <w:t>Personer</w:t>
            </w:r>
            <w:r w:rsidR="001D7419">
              <w:rPr>
                <w:i/>
              </w:rPr>
              <w:t xml:space="preserve"> - </w:t>
            </w:r>
            <w:r w:rsidRPr="00456FE8">
              <w:rPr>
                <w:i/>
              </w:rPr>
              <w:t>Opdelingen</w:t>
            </w:r>
          </w:p>
          <w:p w:rsidR="00470810" w:rsidRDefault="00470810" w:rsidP="00470810">
            <w:pPr>
              <w:pStyle w:val="Tabel-BrdtekstmedafstandptekstGaramond"/>
            </w:pPr>
            <w:r>
              <w:lastRenderedPageBreak/>
              <w:t>Det bemærkes, at valget af lage</w:t>
            </w:r>
            <w:r>
              <w:t>r</w:t>
            </w:r>
            <w:r>
              <w:t>princippet på obligationer optaget til handel på et reguleret marked e</w:t>
            </w:r>
            <w:r>
              <w:t>f</w:t>
            </w:r>
            <w:r>
              <w:t>ter forslaget ikke skal omfatte val</w:t>
            </w:r>
            <w:r>
              <w:t>u</w:t>
            </w:r>
            <w:r>
              <w:t>takursændringerne på disse oblig</w:t>
            </w:r>
            <w:r>
              <w:t>a</w:t>
            </w:r>
            <w:r>
              <w:t>tioner. Lagerprincip for valutakur</w:t>
            </w:r>
            <w:r>
              <w:t>s</w:t>
            </w:r>
            <w:r>
              <w:t>ændringer på disse obligationer vil forudsætte, at alle valutakursæ</w:t>
            </w:r>
            <w:r>
              <w:t>n</w:t>
            </w:r>
            <w:r>
              <w:t>dringer på fordringer og gæld skal medtages. Dvs. at man vælger lager efter både nr. 1 og 2 som angivet i de specielle bemærkninger. Det kan ifølge Landbrug og Fødevarer di</w:t>
            </w:r>
            <w:r>
              <w:t>s</w:t>
            </w:r>
            <w:r>
              <w:t>kuteres, om dette er hensigtsmæ</w:t>
            </w:r>
            <w:r>
              <w:t>s</w:t>
            </w:r>
            <w:r>
              <w:t>sigt. Hvis formålet om at anvende de regnskabsmæssige tal skal tilg</w:t>
            </w:r>
            <w:r>
              <w:t>o</w:t>
            </w:r>
            <w:r>
              <w:t>deses, uden at det medfører v</w:t>
            </w:r>
            <w:r>
              <w:t>æ</w:t>
            </w:r>
            <w:r>
              <w:t>sentlige uhensigtsmæssige kons</w:t>
            </w:r>
            <w:r>
              <w:t>e</w:t>
            </w:r>
            <w:r>
              <w:t>kvenser i øvrigt, bør det overvejes, om ikke valget af lagerprincippet for obligationer optaget til handel (nr. 1) skal inkludere også valut</w:t>
            </w:r>
            <w:r>
              <w:t>a</w:t>
            </w:r>
            <w:r>
              <w:t>kurs-ændringer for disse. Uden at man dermed bliver tvunget ind i l</w:t>
            </w:r>
            <w:r>
              <w:t>a</w:t>
            </w:r>
            <w:r>
              <w:t>gerprincippet på f.eks. al gæld og øvrige fordringer. Det skal her h</w:t>
            </w:r>
            <w:r>
              <w:t>a</w:t>
            </w:r>
            <w:r>
              <w:t>ves i betragtning, at der er forskel på den marginale skatteprocent ved positiv og negativ kapitalindkomst, hvilket kan have stor betydning ved et lagerprincip. I så fald bør der t</w:t>
            </w:r>
            <w:r>
              <w:t>a</w:t>
            </w:r>
            <w:r>
              <w:t>ges højde for, hvad valg af lage</w:t>
            </w:r>
            <w:r>
              <w:t>r</w:t>
            </w:r>
            <w:r>
              <w:t>princippet efter nr. 2 indebærer, hvis der ikke vælges lager efter nr. 1. Det er opfattelsen, at også val</w:t>
            </w:r>
            <w:r>
              <w:t>u</w:t>
            </w:r>
            <w:r>
              <w:t>takursændringer på optagne oblig</w:t>
            </w:r>
            <w:r>
              <w:t>a</w:t>
            </w:r>
            <w:r>
              <w:t>tioner her bør være omfattet.</w:t>
            </w:r>
          </w:p>
          <w:p w:rsidR="00470810" w:rsidRDefault="00470810" w:rsidP="00470810">
            <w:pPr>
              <w:pStyle w:val="Tabel-BrdtekstmedafstandptekstGaramond"/>
            </w:pPr>
          </w:p>
          <w:p w:rsidR="00470810" w:rsidRPr="00456FE8" w:rsidRDefault="00470810" w:rsidP="00470810">
            <w:pPr>
              <w:pStyle w:val="Tabel-BrdtekstmedafstandptekstGaramond"/>
              <w:rPr>
                <w:i/>
              </w:rPr>
            </w:pPr>
            <w:r w:rsidRPr="00456FE8">
              <w:rPr>
                <w:i/>
              </w:rPr>
              <w:t>Tidligere regler</w:t>
            </w:r>
          </w:p>
          <w:p w:rsidR="00470810" w:rsidRDefault="00470810" w:rsidP="00470810">
            <w:pPr>
              <w:pStyle w:val="Tabel-BrdtekstmedafstandptekstGaramond"/>
            </w:pPr>
            <w:r>
              <w:t>Bemærkningerne og bestemmelse</w:t>
            </w:r>
            <w:r>
              <w:t>r</w:t>
            </w:r>
            <w:r>
              <w:t>ne ses ikke at tage højde for, at pe</w:t>
            </w:r>
            <w:r>
              <w:t>r</w:t>
            </w:r>
            <w:r>
              <w:t>soner og dødsboer, der efter de indtil 2009 gældende regler i kur</w:t>
            </w:r>
            <w:r>
              <w:t>s</w:t>
            </w:r>
            <w:r>
              <w:t xml:space="preserve">gevinstlovens § 25, stk. 2, havde </w:t>
            </w:r>
            <w:r>
              <w:lastRenderedPageBreak/>
              <w:t>valgt at anvende lagerprincippet på ikke-børsnoterede fordringer og gæld i fremmed valuta, kan have fortsat med dette. Selvom de de</w:t>
            </w:r>
            <w:r>
              <w:t>n</w:t>
            </w:r>
            <w:r>
              <w:t>gang fik lejlighed til at vælge om til realisationsprincippet for disse fo</w:t>
            </w:r>
            <w:r>
              <w:t>r</w:t>
            </w:r>
            <w:r>
              <w:t>dringer/gæld. Der bør tages højde herfor.</w:t>
            </w:r>
          </w:p>
          <w:p w:rsidR="00470810" w:rsidRDefault="00470810" w:rsidP="00470810">
            <w:pPr>
              <w:pStyle w:val="Tabel-BrdtekstmedafstandptekstGaramond"/>
            </w:pPr>
          </w:p>
          <w:p w:rsidR="00470810" w:rsidRPr="00456FE8" w:rsidRDefault="00470810" w:rsidP="00470810">
            <w:pPr>
              <w:pStyle w:val="Tabel-BrdtekstmedafstandptekstGaramond"/>
              <w:rPr>
                <w:i/>
              </w:rPr>
            </w:pPr>
            <w:r w:rsidRPr="00456FE8">
              <w:rPr>
                <w:i/>
              </w:rPr>
              <w:t>Overgangsbestemmelserne og virkning</w:t>
            </w:r>
            <w:r w:rsidRPr="00456FE8">
              <w:rPr>
                <w:i/>
              </w:rPr>
              <w:t>s</w:t>
            </w:r>
            <w:r w:rsidRPr="00456FE8">
              <w:rPr>
                <w:i/>
              </w:rPr>
              <w:t>tidspunktet</w:t>
            </w:r>
          </w:p>
          <w:p w:rsidR="00470810" w:rsidRDefault="00470810" w:rsidP="00470810">
            <w:pPr>
              <w:pStyle w:val="Tabel-BrdtekstmedafstandptekstGaramond"/>
            </w:pPr>
            <w:r>
              <w:t>Virkningstidspunktet i § 13, stk. 4, er ikke optimalt. § 13, stk. 5, er m</w:t>
            </w:r>
            <w:r>
              <w:t>e</w:t>
            </w:r>
            <w:r>
              <w:t>get uhensigtsmæssig, da der så er endnu en dato, personer mv. skal være opmærksom på. Der skal o</w:t>
            </w:r>
            <w:r>
              <w:t>p</w:t>
            </w:r>
            <w:r>
              <w:t>fordres til, at der anvendes et år</w:t>
            </w:r>
            <w:r>
              <w:t>s</w:t>
            </w:r>
            <w:r>
              <w:t>skifte. Overgangsbestemmelserne medfører, at der kan være tilfælde, hvor man som skatteyder skal a</w:t>
            </w:r>
            <w:r>
              <w:t>n</w:t>
            </w:r>
            <w:r>
              <w:t>vende tre forskellige principper for opgørelse, afhængigt af, om det er før/efter henholdsvis 1/1 2010 og 1/3 2015. Det er uhensigtsmæssigt. Der bør på linje med ændringerne ved forårspakken i 2009 skabes mulighed for, at man i det hele kan overgå til et samlet princip for de kategorier, der er omfattet af m</w:t>
            </w:r>
            <w:r>
              <w:t>u</w:t>
            </w:r>
            <w:r>
              <w:t>lighederne for at vælge lager.</w:t>
            </w:r>
          </w:p>
          <w:p w:rsidR="00470810" w:rsidRDefault="00470810" w:rsidP="00470810">
            <w:pPr>
              <w:pStyle w:val="Tabel-BrdtekstmedafstandptekstGaramond"/>
            </w:pPr>
          </w:p>
          <w:p w:rsidR="00470810" w:rsidRPr="00456FE8" w:rsidRDefault="00470810" w:rsidP="00470810">
            <w:pPr>
              <w:pStyle w:val="Tabel-BrdtekstmedafstandptekstGaramond"/>
              <w:rPr>
                <w:i/>
              </w:rPr>
            </w:pPr>
            <w:r w:rsidRPr="00456FE8">
              <w:rPr>
                <w:i/>
              </w:rPr>
              <w:t>Selskaber</w:t>
            </w:r>
          </w:p>
          <w:p w:rsidR="00470810" w:rsidRDefault="00470810" w:rsidP="00470810">
            <w:pPr>
              <w:pStyle w:val="Tabel-BrdtekstmedafstandptekstGaramond"/>
            </w:pPr>
            <w:r>
              <w:t>Det bemærkes, at bestemmelser og bemærkninger heller ikke her tager højde for, at der kan være selsk</w:t>
            </w:r>
            <w:r>
              <w:t>a</w:t>
            </w:r>
            <w:r>
              <w:t>ber, der for visse dele af fordri</w:t>
            </w:r>
            <w:r>
              <w:t>n</w:t>
            </w:r>
            <w:r>
              <w:t>ger/gæld er omfattet af reglerne, som var gældende før 2010.</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r>
              <w:t>Fokus i bemærkningernes afsnit 3.4.2.2 er ensidigt. Forskellige pri</w:t>
            </w:r>
            <w:r>
              <w:t>n</w:t>
            </w:r>
            <w:r>
              <w:t>cipper kan vel også føre til fre</w:t>
            </w:r>
            <w:r>
              <w:t>m</w:t>
            </w:r>
            <w:r>
              <w:t>rykning af skatter?</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r>
              <w:t>I forslaget til KGL § 25, stk. 4, 2. pkt. nævnes, at valget træffes ”sa</w:t>
            </w:r>
            <w:r>
              <w:t>m</w:t>
            </w:r>
            <w:r>
              <w:t>let for fordringer omfattet af § 4, fordringer, der er erhvervet som skattepligtigt vederlag…, øvrige fordringer, gæld optaget til …” (Vore udeladelser). Det anbefales, at man opstiller disse grupper i en punktopstilling, da den samme</w:t>
            </w:r>
            <w:r>
              <w:t>n</w:t>
            </w:r>
            <w:r>
              <w:t>skrevne formulering er meget va</w:t>
            </w:r>
            <w:r>
              <w:t>n</w:t>
            </w:r>
            <w:r>
              <w:t>skellig at tilgå. Som det gøres i b</w:t>
            </w:r>
            <w:r>
              <w:t>e</w:t>
            </w:r>
            <w:r>
              <w:t xml:space="preserve">mærkningerne. </w:t>
            </w:r>
          </w:p>
          <w:p w:rsidR="00470810" w:rsidRDefault="00470810" w:rsidP="00470810">
            <w:pPr>
              <w:pStyle w:val="Tabel-BrdtekstmedafstandptekstGaramond"/>
            </w:pPr>
            <w:r>
              <w:t>Derudover bemærkes, at der i fo</w:t>
            </w:r>
            <w:r>
              <w:t>r</w:t>
            </w:r>
            <w:r>
              <w:t>muleringen er en særskilt gruppe kaldet ”øvrige fordringer”</w:t>
            </w:r>
            <w:r w:rsidR="00BB6CDB">
              <w:t>,</w:t>
            </w:r>
            <w:r>
              <w:t xml:space="preserve"> som i</w:t>
            </w:r>
            <w:r>
              <w:t>k</w:t>
            </w:r>
            <w:r>
              <w:t>ke nævnes i bemærkningernes o</w:t>
            </w:r>
            <w:r>
              <w:t>p</w:t>
            </w:r>
            <w:r>
              <w:t>stilling. Der ses ikke at være ove</w:t>
            </w:r>
            <w:r>
              <w:t>r</w:t>
            </w:r>
            <w:r>
              <w:t>ensstemmelse.</w:t>
            </w:r>
          </w:p>
          <w:p w:rsidR="00470810" w:rsidRDefault="00470810" w:rsidP="00470810">
            <w:pPr>
              <w:pStyle w:val="Tabel-BrdtekstmedafstandptekstGaramond"/>
            </w:pPr>
          </w:p>
          <w:p w:rsidR="00552710" w:rsidRDefault="00470810" w:rsidP="00470810">
            <w:pPr>
              <w:pStyle w:val="Tabel-BrdtekstmedafstandptekstGaramond"/>
            </w:pPr>
            <w:r>
              <w:t>Det anføres, at virkningstidspun</w:t>
            </w:r>
            <w:r>
              <w:t>k</w:t>
            </w:r>
            <w:r>
              <w:t xml:space="preserve">ter og overgangsbestemmelser ikke </w:t>
            </w:r>
            <w:r w:rsidR="00154C95">
              <w:t xml:space="preserve">er </w:t>
            </w:r>
            <w:r>
              <w:t>hensigtsmæssige. Der opfordres til, at der laves bedre virkningstid</w:t>
            </w:r>
            <w:r>
              <w:t>s</w:t>
            </w:r>
            <w:r>
              <w:t xml:space="preserve">punkter, ligesom der bør skabes mulighed for, at selskaber kan </w:t>
            </w:r>
            <w:r>
              <w:lastRenderedPageBreak/>
              <w:t>overgå til et samlet princip for de kategorier, der er omfattet af m</w:t>
            </w:r>
            <w:r>
              <w:t>u</w:t>
            </w:r>
            <w:r>
              <w:t>lighederne for at vælge lagerpri</w:t>
            </w:r>
            <w:r>
              <w:t>n</w:t>
            </w:r>
            <w:r>
              <w:t>cippet. Grundlæggende gør de nye regler det endnu mere komplekst at opgøre korrekte gevinster og tab.</w:t>
            </w:r>
          </w:p>
          <w:p w:rsidR="00260AF1" w:rsidRDefault="00260AF1" w:rsidP="00552710">
            <w:pPr>
              <w:pStyle w:val="Tabel-BrdtekstmedafstandptekstGaramond"/>
            </w:pPr>
          </w:p>
          <w:p w:rsidR="00260AF1" w:rsidRPr="00D33925" w:rsidRDefault="00260AF1" w:rsidP="00552710">
            <w:pPr>
              <w:pStyle w:val="Tabel-BrdtekstmedafstandptekstGaramond"/>
              <w:rPr>
                <w:u w:val="single"/>
              </w:rPr>
            </w:pPr>
            <w:r w:rsidRPr="00D33925">
              <w:rPr>
                <w:u w:val="single"/>
              </w:rPr>
              <w:t>Exitbeskatning</w:t>
            </w:r>
          </w:p>
          <w:p w:rsidR="00260AF1" w:rsidRDefault="00F02295" w:rsidP="00552710">
            <w:pPr>
              <w:pStyle w:val="Tabel-BrdtekstmedafstandptekstGaramond"/>
            </w:pPr>
            <w:r>
              <w:t>Landbrug og Fødevarer anfører indledningsvist, at de foreslåe</w:t>
            </w:r>
            <w:r w:rsidR="00A01A75">
              <w:t>de regler om exitbeskatning medfører renter og en kort afdragsperiode, hvor der ikke tages højde for, at a</w:t>
            </w:r>
            <w:r w:rsidR="00A01A75">
              <w:t>k</w:t>
            </w:r>
            <w:r w:rsidR="00A01A75">
              <w:t>tiverne rent faktisk kan være i b</w:t>
            </w:r>
            <w:r w:rsidR="00A01A75">
              <w:t>e</w:t>
            </w:r>
            <w:r w:rsidR="00A01A75">
              <w:t>hold</w:t>
            </w:r>
            <w:r w:rsidR="00207D9F">
              <w:t xml:space="preserve">, og at reglerne </w:t>
            </w:r>
            <w:r w:rsidR="009266ED">
              <w:t xml:space="preserve">vil </w:t>
            </w:r>
            <w:r w:rsidR="00E357E7">
              <w:t>v</w:t>
            </w:r>
            <w:r w:rsidR="009266ED">
              <w:t>ære en hi</w:t>
            </w:r>
            <w:r w:rsidR="009266ED">
              <w:t>n</w:t>
            </w:r>
            <w:r w:rsidR="009266ED">
              <w:t>dring for den fri bev</w:t>
            </w:r>
            <w:r w:rsidR="00E357E7">
              <w:t xml:space="preserve">ægelighed i EU. </w:t>
            </w:r>
          </w:p>
          <w:p w:rsidR="00313333" w:rsidRDefault="00313333" w:rsidP="00552710">
            <w:pPr>
              <w:pStyle w:val="Tabel-BrdtekstmedafstandptekstGaramond"/>
            </w:pPr>
          </w:p>
          <w:p w:rsidR="00313333" w:rsidRDefault="00313333" w:rsidP="00552710">
            <w:pPr>
              <w:pStyle w:val="Tabel-BrdtekstmedafstandptekstGaramond"/>
            </w:pPr>
            <w:r>
              <w:t xml:space="preserve">I forhold til dispensationsadgangen </w:t>
            </w:r>
            <w:r w:rsidR="00E311D4">
              <w:t>hilses denne velkommen</w:t>
            </w:r>
            <w:r w:rsidR="001D4BF4">
              <w:t>, og det f</w:t>
            </w:r>
            <w:r w:rsidR="001D4BF4">
              <w:t>o</w:t>
            </w:r>
            <w:r w:rsidR="001D4BF4">
              <w:t xml:space="preserve">reslås, at dette princip udbredes til andre områder. </w:t>
            </w:r>
          </w:p>
          <w:p w:rsidR="00ED7408" w:rsidRDefault="00ED7408" w:rsidP="00552710">
            <w:pPr>
              <w:pStyle w:val="Tabel-BrdtekstmedafstandptekstGaramond"/>
            </w:pPr>
          </w:p>
          <w:p w:rsidR="00F00F89" w:rsidRDefault="00F00F89" w:rsidP="00552710">
            <w:pPr>
              <w:pStyle w:val="Tabel-BrdtekstmedafstandptekstGaramond"/>
            </w:pPr>
          </w:p>
          <w:p w:rsidR="00F00F89" w:rsidRDefault="00F00F89" w:rsidP="00552710">
            <w:pPr>
              <w:pStyle w:val="Tabel-BrdtekstmedafstandptekstGaramond"/>
            </w:pPr>
          </w:p>
          <w:p w:rsidR="00F00F89" w:rsidRDefault="00F00F89" w:rsidP="00552710">
            <w:pPr>
              <w:pStyle w:val="Tabel-BrdtekstmedafstandptekstGaramond"/>
            </w:pPr>
          </w:p>
          <w:p w:rsidR="00ED7408" w:rsidRDefault="00092150" w:rsidP="00552710">
            <w:pPr>
              <w:pStyle w:val="Tabel-BrdtekstmedafstandptekstGaramond"/>
            </w:pPr>
            <w:r>
              <w:t>Vedrørende fristbestemmelsen i § 73, stk. 7 foreslås det, at</w:t>
            </w:r>
            <w:r w:rsidR="00FC7020">
              <w:t xml:space="preserve"> </w:t>
            </w:r>
            <w:r>
              <w:t>formul</w:t>
            </w:r>
            <w:r>
              <w:t>e</w:t>
            </w:r>
            <w:r>
              <w:t xml:space="preserve">ringen ændres for </w:t>
            </w:r>
            <w:r w:rsidR="00F4760D">
              <w:t>de almindelige minimumsafdrag,</w:t>
            </w:r>
            <w:r w:rsidR="002C0EB8">
              <w:t xml:space="preserve"> afdrag som følge af indtægter</w:t>
            </w:r>
            <w:r w:rsidR="00F4760D">
              <w:t xml:space="preserve"> </w:t>
            </w:r>
            <w:r w:rsidR="004977FE">
              <w:t xml:space="preserve">og endelig, at </w:t>
            </w:r>
            <w:r w:rsidR="00DE475C">
              <w:t>formul</w:t>
            </w:r>
            <w:r w:rsidR="00DE475C">
              <w:t>e</w:t>
            </w:r>
            <w:r w:rsidR="00DE475C">
              <w:t xml:space="preserve">ringen tilpasses bedre til </w:t>
            </w:r>
            <w:r w:rsidR="00D323AA">
              <w:t>skatteydere med forskudt</w:t>
            </w:r>
            <w:r w:rsidR="00127B9F">
              <w:t>e</w:t>
            </w:r>
            <w:r w:rsidR="00D323AA">
              <w:t xml:space="preserve"> indkomstår. </w:t>
            </w:r>
          </w:p>
          <w:p w:rsidR="009C3002" w:rsidRDefault="009C3002" w:rsidP="00552710">
            <w:pPr>
              <w:pStyle w:val="Tabel-BrdtekstmedafstandptekstGaramond"/>
            </w:pPr>
          </w:p>
          <w:p w:rsidR="009C3002" w:rsidRDefault="009C3002" w:rsidP="00552710">
            <w:pPr>
              <w:pStyle w:val="Tabel-BrdtekstmedafstandptekstGaramond"/>
            </w:pPr>
            <w:r>
              <w:t xml:space="preserve">I forlængelse heraf efterlyser </w:t>
            </w:r>
            <w:r w:rsidR="00EE36D4">
              <w:t>Lan</w:t>
            </w:r>
            <w:r w:rsidR="00EE36D4">
              <w:t>d</w:t>
            </w:r>
            <w:r w:rsidR="00EE36D4">
              <w:t xml:space="preserve">brug og Fødevarer en opgørelse af indtægter/overskud i eksemplet </w:t>
            </w:r>
            <w:r w:rsidR="0072037C">
              <w:t xml:space="preserve">i de specielle bemærkninger </w:t>
            </w:r>
            <w:r w:rsidR="005C389E">
              <w:t>til § 73 C</w:t>
            </w:r>
            <w:r w:rsidR="00672C4B">
              <w:t xml:space="preserve">, samt en yderligere beskrivelse af den anvendte skatteprocent. </w:t>
            </w:r>
          </w:p>
          <w:p w:rsidR="001E018C" w:rsidRDefault="001E018C" w:rsidP="00552710">
            <w:pPr>
              <w:pStyle w:val="Tabel-BrdtekstmedafstandptekstGaramond"/>
            </w:pPr>
          </w:p>
          <w:p w:rsidR="00A855CE" w:rsidRDefault="00A855CE" w:rsidP="00552710">
            <w:pPr>
              <w:pStyle w:val="Tabel-BrdtekstmedafstandptekstGaramond"/>
            </w:pPr>
          </w:p>
          <w:p w:rsidR="001E018C" w:rsidRDefault="00131815" w:rsidP="00552710">
            <w:pPr>
              <w:pStyle w:val="Tabel-BrdtekstmedafstandptekstGaramond"/>
            </w:pPr>
            <w:r>
              <w:t xml:space="preserve">Landbrug og Fødevarer </w:t>
            </w:r>
            <w:r w:rsidR="004973D3">
              <w:t xml:space="preserve">efterlyser desuden en beskrivelse af, hvordan </w:t>
            </w:r>
            <w:r w:rsidR="004973D3">
              <w:lastRenderedPageBreak/>
              <w:t>”indtægten” opgøres efter de for</w:t>
            </w:r>
            <w:r w:rsidR="004973D3">
              <w:t>e</w:t>
            </w:r>
            <w:r w:rsidR="004973D3">
              <w:t xml:space="preserve">slåede regler. </w:t>
            </w:r>
            <w:r w:rsidR="00695F70">
              <w:t>Videre anføre</w:t>
            </w:r>
            <w:r w:rsidR="00682E5D">
              <w:t>s</w:t>
            </w:r>
            <w:r w:rsidR="00695F70">
              <w:t>, at b</w:t>
            </w:r>
            <w:r w:rsidR="00695F70">
              <w:t>e</w:t>
            </w:r>
            <w:r w:rsidR="00695F70">
              <w:t xml:space="preserve">skatningen af </w:t>
            </w:r>
            <w:r w:rsidR="0077324F">
              <w:t>de løbende indko</w:t>
            </w:r>
            <w:r w:rsidR="0077324F">
              <w:t>m</w:t>
            </w:r>
            <w:r w:rsidR="0077324F">
              <w:t xml:space="preserve">ster </w:t>
            </w:r>
            <w:r w:rsidR="000350C6">
              <w:t xml:space="preserve">og kravet om, at der skal ske betaling af det beløb, der er givet henstand med, inden for en 7-årig periode, </w:t>
            </w:r>
            <w:r w:rsidR="00B1371A">
              <w:t xml:space="preserve">er </w:t>
            </w:r>
            <w:r w:rsidR="00F70B7F">
              <w:t xml:space="preserve">i strid med EU-reglerne. </w:t>
            </w:r>
          </w:p>
          <w:p w:rsidR="000413D6" w:rsidRDefault="000413D6" w:rsidP="00552710">
            <w:pPr>
              <w:pStyle w:val="Tabel-BrdtekstmedafstandptekstGaramond"/>
            </w:pPr>
          </w:p>
          <w:p w:rsidR="006C6DCA" w:rsidRDefault="006C6DCA" w:rsidP="00552710">
            <w:pPr>
              <w:pStyle w:val="Tabel-BrdtekstmedafstandptekstGaramond"/>
            </w:pPr>
          </w:p>
          <w:p w:rsidR="006C6DCA" w:rsidRDefault="006C6DCA" w:rsidP="00552710">
            <w:pPr>
              <w:pStyle w:val="Tabel-BrdtekstmedafstandptekstGaramond"/>
            </w:pPr>
          </w:p>
          <w:p w:rsidR="006C6DCA" w:rsidRDefault="006C6DCA" w:rsidP="00552710">
            <w:pPr>
              <w:pStyle w:val="Tabel-BrdtekstmedafstandptekstGaramond"/>
            </w:pPr>
          </w:p>
          <w:p w:rsidR="006C6DCA" w:rsidRDefault="006C6DCA" w:rsidP="00552710">
            <w:pPr>
              <w:pStyle w:val="Tabel-BrdtekstmedafstandptekstGaramond"/>
            </w:pPr>
          </w:p>
          <w:p w:rsidR="00F140F9" w:rsidRDefault="00C6358B" w:rsidP="00552710">
            <w:pPr>
              <w:pStyle w:val="Tabel-BrdtekstmedafstandptekstGaramond"/>
            </w:pPr>
            <w:r>
              <w:t xml:space="preserve">I forhold </w:t>
            </w:r>
            <w:r w:rsidR="000941B6">
              <w:t>til den foreslåede b</w:t>
            </w:r>
            <w:r w:rsidR="000941B6">
              <w:t>e</w:t>
            </w:r>
            <w:r w:rsidR="00B45B5F">
              <w:t>stemmelse i kildeskattelovens § 10</w:t>
            </w:r>
            <w:r w:rsidR="000941B6">
              <w:t xml:space="preserve"> </w:t>
            </w:r>
            <w:r w:rsidR="001B0C6E">
              <w:t>anfører Landbrug og Fødevarer, at beskrivelsen af exitbeskatning af fast ejendom i udlandet er i strid med Danmarks indgåede dobbel</w:t>
            </w:r>
            <w:r w:rsidR="001B0C6E">
              <w:t>t</w:t>
            </w:r>
            <w:r w:rsidR="001B0C6E">
              <w:t>beskatningsoverenskomster</w:t>
            </w:r>
            <w:r w:rsidR="00445DD2">
              <w:t>. Arg</w:t>
            </w:r>
            <w:r w:rsidR="00445DD2">
              <w:t>u</w:t>
            </w:r>
            <w:r w:rsidR="00445DD2">
              <w:t xml:space="preserve">mentet er, at der ikke er tale om fortjeneste ved salg af en ejendom beliggende i Danmark. </w:t>
            </w:r>
            <w:r w:rsidR="00B05EB1">
              <w:t>Tilsvarende anføres for så vidt angår aktiver, der i forvejen befinder sig i udla</w:t>
            </w:r>
            <w:r w:rsidR="00B05EB1">
              <w:t>n</w:t>
            </w:r>
            <w:r w:rsidR="00B05EB1">
              <w:t xml:space="preserve">det, og hvor beskatningsretten er tillagt </w:t>
            </w:r>
            <w:r w:rsidR="008F7349">
              <w:t xml:space="preserve">det pågældende land. </w:t>
            </w:r>
          </w:p>
          <w:p w:rsidR="00BB12E6" w:rsidRDefault="00BB12E6" w:rsidP="009E2C26">
            <w:pPr>
              <w:pStyle w:val="Tabel-BrdtekstmedafstandptekstGaramond"/>
              <w:ind w:left="0"/>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FE0B00" w:rsidRDefault="00FE0B00" w:rsidP="00552710">
            <w:pPr>
              <w:pStyle w:val="Tabel-BrdtekstmedafstandptekstGaramond"/>
            </w:pPr>
          </w:p>
          <w:p w:rsidR="00154C95" w:rsidRDefault="00154C95" w:rsidP="00552710">
            <w:pPr>
              <w:pStyle w:val="Tabel-BrdtekstmedafstandptekstGaramond"/>
            </w:pPr>
          </w:p>
          <w:p w:rsidR="00FE0B00" w:rsidRDefault="00FE0B00" w:rsidP="00552710">
            <w:pPr>
              <w:pStyle w:val="Tabel-BrdtekstmedafstandptekstGaramond"/>
            </w:pPr>
          </w:p>
          <w:p w:rsidR="00BB12E6" w:rsidRDefault="00C82401" w:rsidP="00552710">
            <w:pPr>
              <w:pStyle w:val="Tabel-BrdtekstmedafstandptekstGaramond"/>
            </w:pPr>
            <w:r>
              <w:t xml:space="preserve">Landbrug og Fødevarer </w:t>
            </w:r>
            <w:r w:rsidR="00C049FD">
              <w:t>anfører v</w:t>
            </w:r>
            <w:r w:rsidR="00C049FD">
              <w:t>i</w:t>
            </w:r>
            <w:r w:rsidR="00C049FD">
              <w:t>dere</w:t>
            </w:r>
            <w:r w:rsidR="001508C1">
              <w:t>, at termen ”virksomhedsska</w:t>
            </w:r>
            <w:r w:rsidR="001508C1">
              <w:t>t</w:t>
            </w:r>
            <w:r w:rsidR="001508C1">
              <w:lastRenderedPageBreak/>
              <w:t>teordningen” bør ændres til ”vir</w:t>
            </w:r>
            <w:r w:rsidR="001508C1">
              <w:t>k</w:t>
            </w:r>
            <w:r w:rsidR="001508C1">
              <w:t>somhedsordningen”</w:t>
            </w:r>
            <w:r w:rsidR="0037693A">
              <w:t xml:space="preserve"> i lovforslaget. </w:t>
            </w:r>
          </w:p>
          <w:p w:rsidR="000808A4" w:rsidRDefault="000808A4" w:rsidP="00552710">
            <w:pPr>
              <w:pStyle w:val="Tabel-BrdtekstmedafstandptekstGaramond"/>
            </w:pPr>
          </w:p>
          <w:p w:rsidR="000808A4" w:rsidRPr="00B5346F" w:rsidRDefault="000808A4" w:rsidP="00552710">
            <w:pPr>
              <w:pStyle w:val="Tabel-BrdtekstmedafstandptekstGaramond"/>
            </w:pPr>
            <w:r>
              <w:t>Endelig ønsker Landbrug og Fød</w:t>
            </w:r>
            <w:r>
              <w:t>e</w:t>
            </w:r>
            <w:r>
              <w:t xml:space="preserve">varer en beskrivelse af, hvordan det selvstændige regnskab </w:t>
            </w:r>
            <w:r w:rsidR="00406FAB">
              <w:t xml:space="preserve">i forhold til </w:t>
            </w:r>
            <w:r w:rsidR="008D0FA7">
              <w:t>virksomhedsopsparingen</w:t>
            </w:r>
            <w:r w:rsidR="00775EBA">
              <w:t xml:space="preserve"> </w:t>
            </w:r>
            <w:r>
              <w:t>over akt</w:t>
            </w:r>
            <w:r>
              <w:t>i</w:t>
            </w:r>
            <w:r>
              <w:t xml:space="preserve">verne skal </w:t>
            </w:r>
            <w:r w:rsidR="0004204A">
              <w:t xml:space="preserve">udarbejdes. </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1D7419" w:rsidRDefault="001D7419" w:rsidP="00B02772">
            <w:pPr>
              <w:pStyle w:val="Tabel-BrdtekstmedafstandptekstGaramond"/>
            </w:pPr>
          </w:p>
          <w:p w:rsidR="001D7419" w:rsidRDefault="001D7419" w:rsidP="00B02772">
            <w:pPr>
              <w:pStyle w:val="Tabel-BrdtekstmedafstandptekstGaramond"/>
            </w:pPr>
          </w:p>
          <w:p w:rsidR="00F40708" w:rsidRDefault="00C439DF" w:rsidP="00B02772">
            <w:pPr>
              <w:pStyle w:val="Tabel-BrdtekstmedafstandptekstGaramond"/>
            </w:pPr>
            <w:r>
              <w:t xml:space="preserve">Forslaget er ændret som foreslået af Landbrug og Fødevarer.    </w:t>
            </w:r>
          </w:p>
          <w:p w:rsidR="00FE05FB" w:rsidRDefault="00FE05FB" w:rsidP="00B02772">
            <w:pPr>
              <w:pStyle w:val="Tabel-BrdtekstmedafstandptekstGaramond"/>
            </w:pPr>
          </w:p>
          <w:p w:rsidR="00FE05FB" w:rsidRDefault="00FE05FB" w:rsidP="00B02772">
            <w:pPr>
              <w:pStyle w:val="Tabel-BrdtekstmedafstandptekstGaramond"/>
            </w:pPr>
          </w:p>
          <w:p w:rsidR="00FE05FB" w:rsidRDefault="00FE05FB" w:rsidP="00B02772">
            <w:pPr>
              <w:pStyle w:val="Tabel-BrdtekstmedafstandptekstGaramond"/>
            </w:pPr>
          </w:p>
          <w:p w:rsidR="00FE05FB" w:rsidRDefault="00FE05FB" w:rsidP="00B02772">
            <w:pPr>
              <w:pStyle w:val="Tabel-BrdtekstmedafstandptekstGaramond"/>
            </w:pPr>
          </w:p>
          <w:p w:rsidR="00FE05FB" w:rsidRDefault="00FE05FB" w:rsidP="00B02772">
            <w:pPr>
              <w:pStyle w:val="Tabel-BrdtekstmedafstandptekstGaramond"/>
            </w:pPr>
          </w:p>
          <w:p w:rsidR="00FE05FB" w:rsidRDefault="00FE05FB" w:rsidP="00B02772">
            <w:pPr>
              <w:pStyle w:val="Tabel-BrdtekstmedafstandptekstGaramond"/>
            </w:pPr>
          </w:p>
          <w:p w:rsidR="00FE05FB" w:rsidRDefault="00FE05FB" w:rsidP="00B02772">
            <w:pPr>
              <w:pStyle w:val="Tabel-BrdtekstmedafstandptekstGaramond"/>
            </w:pPr>
          </w:p>
          <w:p w:rsidR="00FE05FB" w:rsidRDefault="00FE05FB" w:rsidP="00B02772">
            <w:pPr>
              <w:pStyle w:val="Tabel-BrdtekstmedafstandptekstGaramond"/>
            </w:pPr>
          </w:p>
          <w:p w:rsidR="000E3134" w:rsidRDefault="001D7419" w:rsidP="004C339D">
            <w:pPr>
              <w:pStyle w:val="Tabel-BrdtekstmedafstandptekstGaramond"/>
            </w:pPr>
            <w:r>
              <w:t>F</w:t>
            </w:r>
            <w:r w:rsidR="000E3134">
              <w:t>orslaget er som foreslået af Lan</w:t>
            </w:r>
            <w:r w:rsidR="000E3134">
              <w:t>d</w:t>
            </w:r>
            <w:r w:rsidR="000E3134">
              <w:t>brug og Fødevarer ændret, så b</w:t>
            </w:r>
            <w:r w:rsidR="000E3134">
              <w:t>e</w:t>
            </w:r>
            <w:r w:rsidR="000E3134">
              <w:t>stemmelsen omfatter alle rettigh</w:t>
            </w:r>
            <w:r w:rsidR="000E3134">
              <w:t>e</w:t>
            </w:r>
            <w:r w:rsidR="000E3134">
              <w:t>der, som en forpagter har fået ti</w:t>
            </w:r>
            <w:r w:rsidR="000E3134">
              <w:t>l</w:t>
            </w:r>
            <w:r w:rsidR="000E3134">
              <w:t xml:space="preserve">delt. </w:t>
            </w:r>
          </w:p>
          <w:p w:rsidR="000E3134" w:rsidRDefault="000E3134" w:rsidP="004C339D">
            <w:pPr>
              <w:pStyle w:val="Tabel-BrdtekstmedafstandptekstGaramond"/>
            </w:pPr>
          </w:p>
          <w:p w:rsidR="000E3134" w:rsidRDefault="000E3134" w:rsidP="004C339D">
            <w:pPr>
              <w:pStyle w:val="Tabel-BrdtekstmedafstandptekstGaramond"/>
            </w:pPr>
          </w:p>
          <w:p w:rsidR="000E3134" w:rsidRDefault="000E3134" w:rsidP="004C339D">
            <w:pPr>
              <w:pStyle w:val="Tabel-BrdtekstmedafstandptekstGaramond"/>
            </w:pPr>
          </w:p>
          <w:p w:rsidR="000E3134" w:rsidRDefault="000E3134" w:rsidP="004C339D">
            <w:pPr>
              <w:pStyle w:val="Tabel-BrdtekstmedafstandptekstGaramond"/>
            </w:pPr>
          </w:p>
          <w:p w:rsidR="008E449C" w:rsidRDefault="008E449C" w:rsidP="004C339D">
            <w:pPr>
              <w:pStyle w:val="Tabel-BrdtekstmedafstandptekstGaramond"/>
            </w:pPr>
          </w:p>
          <w:p w:rsidR="008E449C" w:rsidRDefault="008E449C" w:rsidP="004C339D">
            <w:pPr>
              <w:pStyle w:val="Tabel-BrdtekstmedafstandptekstGaramond"/>
            </w:pPr>
          </w:p>
          <w:p w:rsidR="008E449C" w:rsidRDefault="00087051" w:rsidP="004C339D">
            <w:pPr>
              <w:pStyle w:val="Tabel-BrdtekstmedafstandptekstGaramond"/>
            </w:pPr>
            <w:r>
              <w:t xml:space="preserve">Forslaget er ændret som foreslået af Landbrug og Fødevarer. </w:t>
            </w:r>
          </w:p>
          <w:p w:rsidR="008E449C" w:rsidRDefault="008E449C"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8E449C" w:rsidRDefault="008E449C" w:rsidP="004C339D">
            <w:pPr>
              <w:pStyle w:val="Tabel-BrdtekstmedafstandptekstGaramond"/>
            </w:pPr>
          </w:p>
          <w:p w:rsidR="008E449C" w:rsidRDefault="008E449C"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087051">
            <w:pPr>
              <w:pStyle w:val="Tabel-BrdtekstmedafstandptekstGaramond"/>
            </w:pPr>
            <w:r>
              <w:t xml:space="preserve">Forslaget er ændret som foreslået af Landbrug og Fødevarer. </w:t>
            </w: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087051" w:rsidRDefault="00087051" w:rsidP="004C339D">
            <w:pPr>
              <w:pStyle w:val="Tabel-BrdtekstmedafstandptekstGaramond"/>
            </w:pPr>
          </w:p>
          <w:p w:rsidR="00470810" w:rsidRDefault="00470810" w:rsidP="00470810">
            <w:pPr>
              <w:pStyle w:val="Tabel-BrdtekstmedafstandptekstGaramond"/>
            </w:pPr>
            <w:r>
              <w:t>Lovforslaget berører ikke reglerne for, hvorledes omkostninger indgår ved opgørelse af gevinst og tab. Dette skal praktiseres som hidtil, hvilket bl.a. indebærer, at omkos</w:t>
            </w:r>
            <w:r>
              <w:t>t</w:t>
            </w:r>
            <w:r>
              <w:t>ninger ikke indgår ved anvendelsen af lagerprincippet på valutakursæ</w:t>
            </w:r>
            <w:r>
              <w:t>n</w:t>
            </w:r>
            <w:r>
              <w:t>dringer, jf. SKM2005.243</w:t>
            </w:r>
            <w:proofErr w:type="gramStart"/>
            <w:r>
              <w:t>.LSR</w:t>
            </w:r>
            <w:proofErr w:type="gramEnd"/>
            <w:r>
              <w:t>.</w:t>
            </w:r>
          </w:p>
          <w:p w:rsidR="00470810" w:rsidRDefault="00470810" w:rsidP="00470810">
            <w:pPr>
              <w:pStyle w:val="Tabel-BrdtekstmedafstandptekstGaramond"/>
            </w:pPr>
            <w:r>
              <w:t xml:space="preserve">Der henvises til </w:t>
            </w:r>
            <w:proofErr w:type="spellStart"/>
            <w:r>
              <w:t>SKATs</w:t>
            </w:r>
            <w:proofErr w:type="spellEnd"/>
            <w:r>
              <w:t xml:space="preserve"> beskrivelse af praksis i Den juridiske vejle</w:t>
            </w:r>
            <w:r>
              <w:t>d</w:t>
            </w:r>
            <w:r>
              <w:t>ning, afsnit C.B.1.7.5. og 1.7.8. Heraf fremgår bl.a., at omkostni</w:t>
            </w:r>
            <w:r>
              <w:t>n</w:t>
            </w:r>
            <w:r>
              <w:t>gerne skal medregnes til værdien i den periode, hvor omkostningerne forfalder til betaling. Omkostni</w:t>
            </w:r>
            <w:r>
              <w:t>n</w:t>
            </w:r>
            <w:r>
              <w:t xml:space="preserve">ger, der relaterer sig til anskaffelse af en fordring, skal tillægges </w:t>
            </w:r>
            <w:proofErr w:type="spellStart"/>
            <w:r>
              <w:t>prim</w:t>
            </w:r>
            <w:r>
              <w:t>o</w:t>
            </w:r>
            <w:r>
              <w:t>værdien</w:t>
            </w:r>
            <w:proofErr w:type="spellEnd"/>
            <w:r>
              <w:t xml:space="preserve"> i anskaffelsesåret, mens omkostninger, der relaterer sig til afståelse af fordringen, fradrages i </w:t>
            </w:r>
            <w:proofErr w:type="spellStart"/>
            <w:r>
              <w:t>ultimoværdien</w:t>
            </w:r>
            <w:proofErr w:type="spellEnd"/>
            <w:r>
              <w:t xml:space="preserve"> i afståelsesåret. O</w:t>
            </w:r>
            <w:r>
              <w:t>m</w:t>
            </w:r>
            <w:r>
              <w:t>kostninger, der relaterer sig til sti</w:t>
            </w:r>
            <w:r>
              <w:t>f</w:t>
            </w:r>
            <w:r>
              <w:t xml:space="preserve">telse af en gæld, skal fradrages i </w:t>
            </w:r>
            <w:proofErr w:type="spellStart"/>
            <w:r>
              <w:t>primoværdien</w:t>
            </w:r>
            <w:proofErr w:type="spellEnd"/>
            <w:r>
              <w:t xml:space="preserve"> i stiftelsesåret for gælden, mens omkostninger, der r</w:t>
            </w:r>
            <w:r>
              <w:t>e</w:t>
            </w:r>
            <w:r>
              <w:t xml:space="preserve">laterer sig til indfrielse af gælden, tillægges </w:t>
            </w:r>
            <w:proofErr w:type="spellStart"/>
            <w:r>
              <w:t>ultimoværdien</w:t>
            </w:r>
            <w:proofErr w:type="spellEnd"/>
            <w:r>
              <w:t xml:space="preserve"> i indfriels</w:t>
            </w:r>
            <w:r>
              <w:t>e</w:t>
            </w:r>
            <w:r>
              <w:t>såret.</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r>
              <w:lastRenderedPageBreak/>
              <w:t>Valget af lagerprincip på henhold</w:t>
            </w:r>
            <w:r>
              <w:t>s</w:t>
            </w:r>
            <w:r>
              <w:t>vis fordringsdelen og valutakursd</w:t>
            </w:r>
            <w:r>
              <w:t>e</w:t>
            </w:r>
            <w:r>
              <w:t>len på obligationer optaget til ha</w:t>
            </w:r>
            <w:r>
              <w:t>n</w:t>
            </w:r>
            <w:r>
              <w:t>del på et reguleret marked er to s</w:t>
            </w:r>
            <w:r>
              <w:t>e</w:t>
            </w:r>
            <w:r>
              <w:t>parate valg, der træffes uafhængigt af hinanden. Valg af lagerprincippet på valutakursændringer skal omfa</w:t>
            </w:r>
            <w:r>
              <w:t>t</w:t>
            </w:r>
            <w:r>
              <w:t>te alle valutakursændringer på alle fordringer og gæld.  Dette er b</w:t>
            </w:r>
            <w:r>
              <w:t>e</w:t>
            </w:r>
            <w:r>
              <w:t>grundet i et ønske om at reducere mulighederne for, at der i samme indkomstår foreligger valutagevi</w:t>
            </w:r>
            <w:r>
              <w:t>n</w:t>
            </w:r>
            <w:r>
              <w:t>ster og – tab, der økonomisk udli</w:t>
            </w:r>
            <w:r>
              <w:t>g</w:t>
            </w:r>
            <w:r>
              <w:t>ner hinanden, men hvor forskellige opgørelsesmetoder på gevinster og tab medfører, at beskatning af g</w:t>
            </w:r>
            <w:r>
              <w:t>e</w:t>
            </w:r>
            <w:r>
              <w:t>vinst og fradrag for tab sker i fo</w:t>
            </w:r>
            <w:r>
              <w:t>r</w:t>
            </w:r>
            <w:r>
              <w:t>skellige indkomstår.</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r>
              <w:t>Lovforslaget er ændret, så der tages højde for denne situation. For pe</w:t>
            </w:r>
            <w:r>
              <w:t>r</w:t>
            </w:r>
            <w:r>
              <w:t>soner, der ikke har benyttet sig af muligheden for at vælge realisat</w:t>
            </w:r>
            <w:r>
              <w:t>i</w:t>
            </w:r>
            <w:r>
              <w:t>onsprincippet på valutakursændri</w:t>
            </w:r>
            <w:r>
              <w:t>n</w:t>
            </w:r>
            <w:r>
              <w:lastRenderedPageBreak/>
              <w:t>ger på ikke-børsnoterede fordringer og gæld i fremmed valuta efter den anførte overgangsregel fra lovæ</w:t>
            </w:r>
            <w:r>
              <w:t>n</w:t>
            </w:r>
            <w:r>
              <w:t>dringen i 2009, medfører forslaget, at lagerprincippet på valutakursæ</w:t>
            </w:r>
            <w:r>
              <w:t>n</w:t>
            </w:r>
            <w:r>
              <w:t>dringer fortsat skal anvendes på s</w:t>
            </w:r>
            <w:r>
              <w:t>å</w:t>
            </w:r>
            <w:r>
              <w:t>danne fordringer og gæld.</w:t>
            </w:r>
          </w:p>
          <w:p w:rsidR="00470810" w:rsidRDefault="00470810" w:rsidP="00470810">
            <w:pPr>
              <w:pStyle w:val="Tabel-BrdtekstmedafstandptekstGaramond"/>
            </w:pPr>
          </w:p>
          <w:p w:rsidR="00470810" w:rsidRDefault="00470810" w:rsidP="00470810">
            <w:pPr>
              <w:pStyle w:val="Tabel-BrdtekstmedafstandptekstGaramond"/>
            </w:pPr>
            <w:r>
              <w:t xml:space="preserve"> </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r>
              <w:t>Lovforslaget er ændret, så både ændringernes virkningstidspunkt og overgangsreglerne tager udgang</w:t>
            </w:r>
            <w:r>
              <w:t>s</w:t>
            </w:r>
            <w:r>
              <w:t>punkt i skiftet til det indkomstår, der påbegyndes den 1. marts 2015 eller senere. For skattepligtige med kalenderårsregnskab vil det sige skiftet fra indkomståret 2015 til 2016.</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1D7419" w:rsidRDefault="001D7419" w:rsidP="00470810">
            <w:pPr>
              <w:pStyle w:val="Tabel-BrdtekstmedafstandptekstGaramond"/>
            </w:pPr>
          </w:p>
          <w:p w:rsidR="00470810" w:rsidRDefault="00470810" w:rsidP="00470810">
            <w:pPr>
              <w:pStyle w:val="Tabel-BrdtekstmedafstandptekstGaramond"/>
            </w:pPr>
            <w:r>
              <w:t>Lovforslaget er ændret, så der tages højde for denne situation. For se</w:t>
            </w:r>
            <w:r>
              <w:t>l</w:t>
            </w:r>
            <w:r>
              <w:t>skaber, der ikke har benyttet sig af muligheden for at vælge realisat</w:t>
            </w:r>
            <w:r>
              <w:t>i</w:t>
            </w:r>
            <w:r>
              <w:t>onsprincippet på valutakursændri</w:t>
            </w:r>
            <w:r>
              <w:t>n</w:t>
            </w:r>
            <w:r>
              <w:t>ger på ikke-børsnoteret gæld i fremmed valuta efter den anførte overgangsregel fra lovændringen i 2009, medfører forslaget, at lage</w:t>
            </w:r>
            <w:r>
              <w:t>r</w:t>
            </w:r>
            <w:r>
              <w:t>princippet på valutakursændringer fortsat skal anvendes på denne gæld.</w:t>
            </w:r>
          </w:p>
          <w:p w:rsidR="00470810" w:rsidRDefault="00470810" w:rsidP="00470810">
            <w:pPr>
              <w:pStyle w:val="Tabel-BrdtekstmedafstandptekstGaramond"/>
            </w:pPr>
          </w:p>
          <w:p w:rsidR="00470810" w:rsidRDefault="00470810" w:rsidP="00470810">
            <w:pPr>
              <w:pStyle w:val="Tabel-BrdtekstmedafstandptekstGaramond"/>
            </w:pPr>
            <w:r>
              <w:t>Det pågældende afsnit beskriver, at valg af forskellige opgørelsespri</w:t>
            </w:r>
            <w:r>
              <w:t>n</w:t>
            </w:r>
            <w:r>
              <w:t>cipper på henholdsvis gældsiden og fordringssiden åbner mulighed for skatteudskydelse, fx i koncernfo</w:t>
            </w:r>
            <w:r>
              <w:t>r</w:t>
            </w:r>
            <w:r>
              <w:t>hold. Baggrunden for den foreslå</w:t>
            </w:r>
            <w:r>
              <w:t>e</w:t>
            </w:r>
            <w:r>
              <w:t>de ændring er dog flerleddet, idet der med forslaget også sker en lig</w:t>
            </w:r>
            <w:r>
              <w:t>e</w:t>
            </w:r>
            <w:r>
              <w:t>stilling af gæld i danske kroner med gæld i fremmed valuta. For gæld, der ikke er optaget til handel på et reguleret marked, er det alene real</w:t>
            </w:r>
            <w:r>
              <w:t>i</w:t>
            </w:r>
            <w:r>
              <w:t>sationsprincippet, der fremadrettet kan anvendes. Er gælden i fremmed valuta, vil et eventuelt valg af lage</w:t>
            </w:r>
            <w:r>
              <w:t>r</w:t>
            </w:r>
            <w:r>
              <w:t>princippet på valutakursændringer også omfatte denne gæld.</w:t>
            </w:r>
          </w:p>
          <w:p w:rsidR="00470810" w:rsidRDefault="00470810" w:rsidP="00470810">
            <w:pPr>
              <w:pStyle w:val="Tabel-BrdtekstmedafstandptekstGaramond"/>
            </w:pPr>
          </w:p>
          <w:p w:rsidR="00470810" w:rsidRDefault="00470810" w:rsidP="00470810">
            <w:pPr>
              <w:pStyle w:val="Tabel-BrdtekstmedafstandptekstGaramond"/>
            </w:pPr>
            <w:r>
              <w:t xml:space="preserve">Der henvises til bemærkningerne til kommentarerne fra FSR. </w:t>
            </w: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470810" w:rsidRDefault="00470810" w:rsidP="00470810">
            <w:pPr>
              <w:pStyle w:val="Tabel-BrdtekstmedafstandptekstGaramond"/>
            </w:pPr>
          </w:p>
          <w:p w:rsidR="00087051" w:rsidRDefault="00470810" w:rsidP="00470810">
            <w:pPr>
              <w:pStyle w:val="Tabel-BrdtekstmedafstandptekstGaramond"/>
            </w:pPr>
            <w:r>
              <w:t>Lovforslaget er ændret, så både ændringernes virkningstidspunkt og overgangsreglerne tager udgang</w:t>
            </w:r>
            <w:r>
              <w:t>s</w:t>
            </w:r>
            <w:r>
              <w:t xml:space="preserve">punkt i skiftet til det indkomstår, der påbegyndes den 1. marts 2015 eller senere. For skattepligtige med </w:t>
            </w:r>
            <w:r>
              <w:lastRenderedPageBreak/>
              <w:t>kalenderårsregnskab vil det sige skiftet fra indkomståret 2015 til 2016.</w:t>
            </w:r>
          </w:p>
          <w:p w:rsidR="00087051" w:rsidRDefault="00087051" w:rsidP="004C339D">
            <w:pPr>
              <w:pStyle w:val="Tabel-BrdtekstmedafstandptekstGaramond"/>
            </w:pPr>
          </w:p>
          <w:p w:rsidR="00087051" w:rsidRDefault="00087051" w:rsidP="004C339D">
            <w:pPr>
              <w:pStyle w:val="Tabel-BrdtekstmedafstandptekstGaramond"/>
            </w:pPr>
          </w:p>
          <w:p w:rsidR="00470810" w:rsidRDefault="00470810" w:rsidP="004C339D">
            <w:pPr>
              <w:pStyle w:val="Tabel-BrdtekstmedafstandptekstGaramond"/>
            </w:pPr>
          </w:p>
          <w:p w:rsidR="00470810" w:rsidRDefault="00470810" w:rsidP="004C339D">
            <w:pPr>
              <w:pStyle w:val="Tabel-BrdtekstmedafstandptekstGaramond"/>
            </w:pPr>
          </w:p>
          <w:p w:rsidR="00470810" w:rsidRDefault="00470810" w:rsidP="004C339D">
            <w:pPr>
              <w:pStyle w:val="Tabel-BrdtekstmedafstandptekstGaramond"/>
            </w:pPr>
          </w:p>
          <w:p w:rsidR="00FE05FB" w:rsidRDefault="00776807" w:rsidP="004C339D">
            <w:pPr>
              <w:pStyle w:val="Tabel-BrdtekstmedafstandptekstGaramond"/>
            </w:pPr>
            <w:r>
              <w:t xml:space="preserve">Der henvises til kommentarerne til </w:t>
            </w:r>
            <w:r w:rsidR="004C339D">
              <w:t>Dansk Erhverv</w:t>
            </w:r>
            <w:r w:rsidR="00682E5D">
              <w:t>, DI og FSR</w:t>
            </w:r>
            <w:r w:rsidR="004C339D">
              <w:t xml:space="preserve">. </w:t>
            </w:r>
          </w:p>
          <w:p w:rsidR="000E44A2" w:rsidRDefault="000E44A2" w:rsidP="00B02772">
            <w:pPr>
              <w:pStyle w:val="Tabel-BrdtekstmedafstandptekstGaramond"/>
            </w:pPr>
          </w:p>
          <w:p w:rsidR="000E44A2" w:rsidRDefault="000E44A2" w:rsidP="00B02772">
            <w:pPr>
              <w:pStyle w:val="Tabel-BrdtekstmedafstandptekstGaramond"/>
            </w:pPr>
          </w:p>
          <w:p w:rsidR="000E44A2" w:rsidRDefault="000E44A2" w:rsidP="00B02772">
            <w:pPr>
              <w:pStyle w:val="Tabel-BrdtekstmedafstandptekstGaramond"/>
            </w:pPr>
          </w:p>
          <w:p w:rsidR="000E44A2" w:rsidRDefault="000E44A2" w:rsidP="00B02772">
            <w:pPr>
              <w:pStyle w:val="Tabel-BrdtekstmedafstandptekstGaramond"/>
            </w:pPr>
          </w:p>
          <w:p w:rsidR="000E44A2" w:rsidRDefault="000E44A2" w:rsidP="00B02772">
            <w:pPr>
              <w:pStyle w:val="Tabel-BrdtekstmedafstandptekstGaramond"/>
            </w:pPr>
          </w:p>
          <w:p w:rsidR="000E44A2" w:rsidRDefault="000E44A2" w:rsidP="00B02772">
            <w:pPr>
              <w:pStyle w:val="Tabel-BrdtekstmedafstandptekstGaramond"/>
            </w:pPr>
          </w:p>
          <w:p w:rsidR="000E44A2" w:rsidRDefault="000E44A2" w:rsidP="00B02772">
            <w:pPr>
              <w:pStyle w:val="Tabel-BrdtekstmedafstandptekstGaramond"/>
            </w:pPr>
          </w:p>
          <w:p w:rsidR="000E44A2" w:rsidRDefault="000E44A2" w:rsidP="00B02772">
            <w:pPr>
              <w:pStyle w:val="Tabel-BrdtekstmedafstandptekstGaramond"/>
            </w:pPr>
          </w:p>
          <w:p w:rsidR="000E44A2" w:rsidRDefault="0057371E" w:rsidP="00B02772">
            <w:pPr>
              <w:pStyle w:val="Tabel-BrdtekstmedafstandptekstGaramond"/>
            </w:pPr>
            <w:r>
              <w:t>Hensigten med lovforslaget er al</w:t>
            </w:r>
            <w:r>
              <w:t>e</w:t>
            </w:r>
            <w:r>
              <w:t xml:space="preserve">ne at skabe mulighed for henstand med betaling af exitskat, og det </w:t>
            </w:r>
            <w:r w:rsidR="00682E5D">
              <w:t>li</w:t>
            </w:r>
            <w:r w:rsidR="00682E5D">
              <w:t>g</w:t>
            </w:r>
            <w:r w:rsidR="00682E5D">
              <w:t>g</w:t>
            </w:r>
            <w:r>
              <w:t xml:space="preserve">er </w:t>
            </w:r>
            <w:r w:rsidR="00600E4F">
              <w:t xml:space="preserve">derfor uden for </w:t>
            </w:r>
            <w:r w:rsidR="0030509E">
              <w:t xml:space="preserve">formålet med dette lovforslag at </w:t>
            </w:r>
            <w:r w:rsidR="00DE4F34">
              <w:t>indføre generelle dispensationsregler til fristoverskr</w:t>
            </w:r>
            <w:r w:rsidR="00DE4F34">
              <w:t>i</w:t>
            </w:r>
            <w:r w:rsidR="00DE4F34">
              <w:t xml:space="preserve">delser. </w:t>
            </w:r>
          </w:p>
          <w:p w:rsidR="00F00F89" w:rsidRDefault="00F00F89" w:rsidP="00B02772">
            <w:pPr>
              <w:pStyle w:val="Tabel-BrdtekstmedafstandptekstGaramond"/>
            </w:pPr>
          </w:p>
          <w:p w:rsidR="00F00F89" w:rsidRDefault="00513F37" w:rsidP="001B75AC">
            <w:pPr>
              <w:pStyle w:val="Tabel-BrdtekstmedafstandptekstGaramond"/>
            </w:pPr>
            <w:r>
              <w:t>Formuleringen er rettet i de rel</w:t>
            </w:r>
            <w:r>
              <w:t>e</w:t>
            </w:r>
            <w:r>
              <w:t>vante bestemmelser og bemærkni</w:t>
            </w:r>
            <w:r>
              <w:t>n</w:t>
            </w:r>
            <w:r>
              <w:t>ger i lovforslaget, således at det t</w:t>
            </w:r>
            <w:r>
              <w:t>y</w:t>
            </w:r>
            <w:r>
              <w:t xml:space="preserve">deligt fremgår, at </w:t>
            </w:r>
            <w:r w:rsidR="00302F71">
              <w:t>fristen i alle ti</w:t>
            </w:r>
            <w:r w:rsidR="00302F71">
              <w:t>l</w:t>
            </w:r>
            <w:r w:rsidR="00302F71">
              <w:t>fælde er den 1. september i det e</w:t>
            </w:r>
            <w:r w:rsidR="00302F71">
              <w:t>f</w:t>
            </w:r>
            <w:r w:rsidR="00302F71">
              <w:t xml:space="preserve">terfølgende </w:t>
            </w:r>
            <w:r w:rsidR="001B75AC">
              <w:t>år.</w:t>
            </w:r>
          </w:p>
          <w:p w:rsidR="00C425CB" w:rsidRDefault="00C425CB" w:rsidP="00B02772">
            <w:pPr>
              <w:pStyle w:val="Tabel-BrdtekstmedafstandptekstGaramond"/>
            </w:pPr>
          </w:p>
          <w:p w:rsidR="00C425CB" w:rsidRDefault="00C425CB" w:rsidP="00B02772">
            <w:pPr>
              <w:pStyle w:val="Tabel-BrdtekstmedafstandptekstGaramond"/>
            </w:pPr>
          </w:p>
          <w:p w:rsidR="00C425CB" w:rsidRDefault="001F460E" w:rsidP="00B02772">
            <w:pPr>
              <w:pStyle w:val="Tabel-BrdtekstmedafstandptekstGaramond"/>
            </w:pPr>
            <w:r>
              <w:t>Opgørelsen af indtægten følger skattelovgivningens almindelige regler</w:t>
            </w:r>
            <w:r w:rsidR="00FA651C">
              <w:t xml:space="preserve">. Da lovforslaget </w:t>
            </w:r>
            <w:r w:rsidR="00682E5D">
              <w:t xml:space="preserve">ikke </w:t>
            </w:r>
            <w:r w:rsidR="00060034">
              <w:t xml:space="preserve">udgør en særordning i forhold hertil, </w:t>
            </w:r>
            <w:r w:rsidR="008345B6">
              <w:t>fi</w:t>
            </w:r>
            <w:r w:rsidR="008345B6">
              <w:t>n</w:t>
            </w:r>
            <w:r w:rsidR="008345B6">
              <w:t xml:space="preserve">des det ikke hensigtsmæssigt at </w:t>
            </w:r>
            <w:r w:rsidR="00946D81">
              <w:t>in</w:t>
            </w:r>
            <w:r w:rsidR="00946D81">
              <w:t>d</w:t>
            </w:r>
            <w:r w:rsidR="00946D81">
              <w:t>føre en yderligere beskrivelse af de gældende generelle regler</w:t>
            </w:r>
            <w:r w:rsidR="00A855CE">
              <w:t xml:space="preserve">. </w:t>
            </w:r>
          </w:p>
          <w:p w:rsidR="00A855CE" w:rsidRDefault="00A855CE" w:rsidP="00B02772">
            <w:pPr>
              <w:pStyle w:val="Tabel-BrdtekstmedafstandptekstGaramond"/>
            </w:pPr>
          </w:p>
          <w:p w:rsidR="00A855CE" w:rsidRDefault="004A36FB" w:rsidP="00B02772">
            <w:pPr>
              <w:pStyle w:val="Tabel-BrdtekstmedafstandptekstGaramond"/>
            </w:pPr>
            <w:r>
              <w:t>Som nævnt ovenfor opgøres in</w:t>
            </w:r>
            <w:r>
              <w:t>d</w:t>
            </w:r>
            <w:r>
              <w:t xml:space="preserve">tægten efter skattelovgivningens </w:t>
            </w:r>
            <w:r>
              <w:lastRenderedPageBreak/>
              <w:t xml:space="preserve">almindelige regler. </w:t>
            </w:r>
            <w:r w:rsidR="004F2D6F">
              <w:t xml:space="preserve">Skatteyderen skal derfor </w:t>
            </w:r>
            <w:r w:rsidR="004403EC">
              <w:t xml:space="preserve">opgøre sin indtægt </w:t>
            </w:r>
            <w:r w:rsidR="00B33200">
              <w:t>af virksomheden, som vedkommende ville skulle gøre, såfremt virkso</w:t>
            </w:r>
            <w:r w:rsidR="00B33200">
              <w:t>m</w:t>
            </w:r>
            <w:r w:rsidR="00B33200">
              <w:t xml:space="preserve">heden var forblevet i Danmark. </w:t>
            </w:r>
          </w:p>
          <w:p w:rsidR="00CB3CA9" w:rsidRDefault="00CB3CA9" w:rsidP="00B02772">
            <w:pPr>
              <w:pStyle w:val="Tabel-BrdtekstmedafstandptekstGaramond"/>
            </w:pPr>
          </w:p>
          <w:p w:rsidR="00CB3CA9" w:rsidRDefault="00CB3CA9" w:rsidP="00B02772">
            <w:pPr>
              <w:pStyle w:val="Tabel-BrdtekstmedafstandptekstGaramond"/>
            </w:pPr>
            <w:r>
              <w:t>I forhold til argumentet om, at a</w:t>
            </w:r>
            <w:r>
              <w:t>f</w:t>
            </w:r>
            <w:r>
              <w:t>dragsperioden på maksimalt 7 år skulle være i strid med EU-retten, henvises til kommentarerne til Dansk Erhverv</w:t>
            </w:r>
            <w:r w:rsidR="00682E5D">
              <w:t xml:space="preserve"> og FSR</w:t>
            </w:r>
            <w:r>
              <w:t xml:space="preserve">. </w:t>
            </w:r>
          </w:p>
          <w:p w:rsidR="006C6DCA" w:rsidRDefault="006C6DCA" w:rsidP="00B02772">
            <w:pPr>
              <w:pStyle w:val="Tabel-BrdtekstmedafstandptekstGaramond"/>
            </w:pPr>
          </w:p>
          <w:p w:rsidR="006C6DCA" w:rsidRDefault="00675550" w:rsidP="00B02772">
            <w:pPr>
              <w:pStyle w:val="Tabel-BrdtekstmedafstandptekstGaramond"/>
            </w:pPr>
            <w:r>
              <w:t>Den foreslåede bestemmelse i ki</w:t>
            </w:r>
            <w:r>
              <w:t>l</w:t>
            </w:r>
            <w:r>
              <w:t xml:space="preserve">deskattelovens § 10 </w:t>
            </w:r>
            <w:r w:rsidR="007233CF">
              <w:t xml:space="preserve">omfatter alene faste ejendomme, som har været omfattet af dansk beskatningsret og derefter er udgået af denne. </w:t>
            </w:r>
            <w:r w:rsidR="00380E77">
              <w:t>Den foreslåede bestemmelse er således ikke i strid med Danmarks indgå</w:t>
            </w:r>
            <w:r w:rsidR="00380E77">
              <w:t>e</w:t>
            </w:r>
            <w:r w:rsidR="00380E77">
              <w:t>de dobbeltbeskatningsoverensko</w:t>
            </w:r>
            <w:r w:rsidR="00380E77">
              <w:t>m</w:t>
            </w:r>
            <w:r w:rsidR="00380E77">
              <w:t xml:space="preserve">ster. </w:t>
            </w:r>
          </w:p>
          <w:p w:rsidR="009E2C26" w:rsidRDefault="009E2C26" w:rsidP="00B02772">
            <w:pPr>
              <w:pStyle w:val="Tabel-BrdtekstmedafstandptekstGaramond"/>
            </w:pPr>
          </w:p>
          <w:p w:rsidR="009E2C26" w:rsidRDefault="00682E5D" w:rsidP="00B94E08">
            <w:pPr>
              <w:pStyle w:val="Tabel-BrdtekstmedafstandptekstGaramond"/>
            </w:pPr>
            <w:r>
              <w:t xml:space="preserve">For så vidt angår </w:t>
            </w:r>
            <w:r w:rsidR="009E2C26">
              <w:t>aktiver, der aller</w:t>
            </w:r>
            <w:r w:rsidR="009E2C26">
              <w:t>e</w:t>
            </w:r>
            <w:r w:rsidR="009E2C26">
              <w:t>de be</w:t>
            </w:r>
            <w:r w:rsidR="00B94E08">
              <w:t>finder sig i udlandet</w:t>
            </w:r>
            <w:r>
              <w:t>, så omfa</w:t>
            </w:r>
            <w:r>
              <w:t>t</w:t>
            </w:r>
            <w:r>
              <w:t xml:space="preserve">ter </w:t>
            </w:r>
            <w:r w:rsidR="00B94E08">
              <w:t>den gældende regel i kildeskatt</w:t>
            </w:r>
            <w:r w:rsidR="00B94E08">
              <w:t>e</w:t>
            </w:r>
            <w:r w:rsidR="00B94E08">
              <w:t>lovens § 10</w:t>
            </w:r>
            <w:r>
              <w:t xml:space="preserve"> om beskatning af ge</w:t>
            </w:r>
            <w:r>
              <w:t>n</w:t>
            </w:r>
            <w:r>
              <w:t xml:space="preserve">vundne afskrivninger </w:t>
            </w:r>
            <w:r w:rsidR="00B94E08">
              <w:t>ikke kun a</w:t>
            </w:r>
            <w:r w:rsidR="00B94E08">
              <w:t>f</w:t>
            </w:r>
            <w:r w:rsidR="00B94E08">
              <w:t>skrivningsberettigede aktiver, som medbringes til udlandet ved frafly</w:t>
            </w:r>
            <w:r w:rsidR="00B94E08">
              <w:t>t</w:t>
            </w:r>
            <w:r w:rsidR="00B94E08">
              <w:t xml:space="preserve">ningen. Den omfatter også aktiver, der allerede befinder sig i udlandet på tidspunktet for skatteyderens fraflytning. </w:t>
            </w:r>
          </w:p>
          <w:p w:rsidR="000D475A" w:rsidRDefault="000D475A" w:rsidP="00B94E08">
            <w:pPr>
              <w:pStyle w:val="Tabel-BrdtekstmedafstandptekstGaramond"/>
            </w:pPr>
          </w:p>
          <w:p w:rsidR="000D475A" w:rsidRDefault="000D475A" w:rsidP="00B94E08">
            <w:pPr>
              <w:pStyle w:val="Tabel-BrdtekstmedafstandptekstGaramond"/>
            </w:pPr>
            <w:r>
              <w:t xml:space="preserve">Både for så vidt angår ejendomme og aktiver gælder det, at </w:t>
            </w:r>
            <w:r w:rsidR="00A21580">
              <w:t>disse situ</w:t>
            </w:r>
            <w:r w:rsidR="00A21580">
              <w:t>a</w:t>
            </w:r>
            <w:r w:rsidR="00A21580">
              <w:t xml:space="preserve">tioner er omfattet af bestemmelsen i lovforslagets § 10, nr. 6 om </w:t>
            </w:r>
            <w:r w:rsidR="00682E5D">
              <w:t>hyp</w:t>
            </w:r>
            <w:r w:rsidR="00682E5D">
              <w:t>o</w:t>
            </w:r>
            <w:r w:rsidR="00682E5D">
              <w:t>tetisk</w:t>
            </w:r>
            <w:r w:rsidR="00A21580">
              <w:t xml:space="preserve"> </w:t>
            </w:r>
            <w:proofErr w:type="spellStart"/>
            <w:r w:rsidR="00A21580">
              <w:t>creditlempelse</w:t>
            </w:r>
            <w:proofErr w:type="spellEnd"/>
            <w:r w:rsidR="00AA6891">
              <w:t xml:space="preserve">. Der henvises i øvrigt til kommentarerne til FSR for så vidt angår denne del. </w:t>
            </w:r>
          </w:p>
          <w:p w:rsidR="00FE0B00" w:rsidRDefault="00FE0B00" w:rsidP="00B94E08">
            <w:pPr>
              <w:pStyle w:val="Tabel-BrdtekstmedafstandptekstGaramond"/>
            </w:pPr>
          </w:p>
          <w:p w:rsidR="00FE0B00" w:rsidRDefault="00DB127A" w:rsidP="00B94E08">
            <w:pPr>
              <w:pStyle w:val="Tabel-BrdtekstmedafstandptekstGaramond"/>
            </w:pPr>
            <w:r>
              <w:t>Termen ”virksomhedsskatteor</w:t>
            </w:r>
            <w:r>
              <w:t>d</w:t>
            </w:r>
            <w:r>
              <w:t>ning” er ændret til ”virksomhed</w:t>
            </w:r>
            <w:r>
              <w:t>s</w:t>
            </w:r>
            <w:r>
              <w:lastRenderedPageBreak/>
              <w:t xml:space="preserve">ordning” i lovforslaget. </w:t>
            </w:r>
          </w:p>
          <w:p w:rsidR="001E48D7" w:rsidRDefault="001E48D7" w:rsidP="00B94E08">
            <w:pPr>
              <w:pStyle w:val="Tabel-BrdtekstmedafstandptekstGaramond"/>
            </w:pPr>
          </w:p>
          <w:p w:rsidR="001E48D7" w:rsidRDefault="001E48D7" w:rsidP="00B94E08">
            <w:pPr>
              <w:pStyle w:val="Tabel-BrdtekstmedafstandptekstGaramond"/>
            </w:pPr>
          </w:p>
          <w:p w:rsidR="001E48D7" w:rsidRPr="00B5346F" w:rsidRDefault="003E39CF" w:rsidP="00154C95">
            <w:pPr>
              <w:pStyle w:val="Tabel-BrdtekstmedafstandptekstGaramond"/>
            </w:pPr>
            <w:r>
              <w:t xml:space="preserve">Virksomhederne skal </w:t>
            </w:r>
            <w:r w:rsidR="00C03746">
              <w:t>efter de for</w:t>
            </w:r>
            <w:r w:rsidR="00C03746">
              <w:t>e</w:t>
            </w:r>
            <w:r w:rsidR="00C03746">
              <w:t xml:space="preserve">slåede regler </w:t>
            </w:r>
            <w:r w:rsidR="001F5686">
              <w:t xml:space="preserve">opgøre regnskabet </w:t>
            </w:r>
            <w:r w:rsidR="009574DD">
              <w:t>over aktiverne</w:t>
            </w:r>
            <w:r w:rsidR="007750CC">
              <w:t xml:space="preserve"> efter de gældende regler, som </w:t>
            </w:r>
            <w:r w:rsidR="00C13E75">
              <w:t>de skulle opgøre reg</w:t>
            </w:r>
            <w:r w:rsidR="00C13E75">
              <w:t>n</w:t>
            </w:r>
            <w:r w:rsidR="00C13E75">
              <w:t>skabet efter, hvis de fortsat var o</w:t>
            </w:r>
            <w:r w:rsidR="00C13E75">
              <w:t>m</w:t>
            </w:r>
            <w:r w:rsidR="00C13E75">
              <w:t>fattet af den danske virksomhed</w:t>
            </w:r>
            <w:r w:rsidR="00C13E75">
              <w:t>s</w:t>
            </w:r>
            <w:r w:rsidR="00C13E75">
              <w:t xml:space="preserve">ordning. </w:t>
            </w:r>
          </w:p>
        </w:tc>
      </w:tr>
      <w:tr w:rsidR="004C4D5F" w:rsidRPr="00B5346F" w:rsidTr="004D2BD7">
        <w:tc>
          <w:tcPr>
            <w:tcW w:w="2310" w:type="dxa"/>
            <w:tcBorders>
              <w:top w:val="single" w:sz="4" w:space="0" w:color="D1C5C3" w:themeColor="accent3"/>
              <w:bottom w:val="single" w:sz="4" w:space="0" w:color="D1C5C3" w:themeColor="accent3"/>
            </w:tcBorders>
            <w:shd w:val="clear" w:color="auto" w:fill="FBF9F9"/>
          </w:tcPr>
          <w:p w:rsidR="00F40708" w:rsidRDefault="006B2679" w:rsidP="00815F28">
            <w:pPr>
              <w:pStyle w:val="Tabel-BrdtekstmedafstandptekstGaramond"/>
              <w:rPr>
                <w:i/>
              </w:rPr>
            </w:pPr>
            <w:r>
              <w:rPr>
                <w:i/>
              </w:rPr>
              <w:lastRenderedPageBreak/>
              <w:t>SRF Skattefaglig Fo</w:t>
            </w:r>
            <w:r>
              <w:rPr>
                <w:i/>
              </w:rPr>
              <w:t>r</w:t>
            </w:r>
            <w:r>
              <w:rPr>
                <w:i/>
              </w:rPr>
              <w:t>ening</w:t>
            </w:r>
          </w:p>
        </w:tc>
        <w:tc>
          <w:tcPr>
            <w:tcW w:w="213" w:type="dxa"/>
            <w:shd w:val="clear" w:color="auto" w:fill="FFFFFF" w:themeFill="background1"/>
          </w:tcPr>
          <w:p w:rsidR="00F40708" w:rsidRPr="00B5346F" w:rsidRDefault="00F40708" w:rsidP="00B02772"/>
        </w:tc>
        <w:tc>
          <w:tcPr>
            <w:tcW w:w="3443" w:type="dxa"/>
            <w:tcBorders>
              <w:top w:val="single" w:sz="4" w:space="0" w:color="D1C5C3" w:themeColor="accent3"/>
              <w:bottom w:val="single" w:sz="4" w:space="0" w:color="D1C5C3" w:themeColor="accent3"/>
            </w:tcBorders>
            <w:shd w:val="clear" w:color="auto" w:fill="FBF9F9"/>
          </w:tcPr>
          <w:p w:rsidR="00F40708" w:rsidRPr="00B5346F" w:rsidRDefault="006B2679" w:rsidP="00B02772">
            <w:pPr>
              <w:pStyle w:val="Tabel-BrdtekstmedafstandptekstGaramond"/>
            </w:pPr>
            <w:r>
              <w:t>Ingen bemærkninger.</w:t>
            </w:r>
          </w:p>
        </w:tc>
        <w:tc>
          <w:tcPr>
            <w:tcW w:w="230" w:type="dxa"/>
            <w:shd w:val="clear" w:color="auto" w:fill="FFFFFF" w:themeFill="background1"/>
          </w:tcPr>
          <w:p w:rsidR="00F40708" w:rsidRPr="00B5346F" w:rsidRDefault="00F40708" w:rsidP="00B02772"/>
        </w:tc>
        <w:tc>
          <w:tcPr>
            <w:tcW w:w="3443" w:type="dxa"/>
            <w:tcBorders>
              <w:top w:val="single" w:sz="4" w:space="0" w:color="14143C" w:themeColor="accent1"/>
              <w:bottom w:val="single" w:sz="4" w:space="0" w:color="14143C" w:themeColor="accent1"/>
            </w:tcBorders>
            <w:shd w:val="clear" w:color="auto" w:fill="D2CED8"/>
          </w:tcPr>
          <w:p w:rsidR="00F40708" w:rsidRPr="00B5346F" w:rsidRDefault="00F40708" w:rsidP="00B02772">
            <w:pPr>
              <w:pStyle w:val="Tabel-BrdtekstmedafstandptekstGaramond"/>
            </w:pPr>
          </w:p>
        </w:tc>
      </w:tr>
    </w:tbl>
    <w:p w:rsidR="00600E3E" w:rsidRPr="00F37F63" w:rsidRDefault="00600E3E" w:rsidP="002B3C73">
      <w:pPr>
        <w:keepNext/>
        <w:keepLines/>
      </w:pPr>
    </w:p>
    <w:sectPr w:rsidR="00600E3E" w:rsidRPr="00F37F63" w:rsidSect="00207BEC">
      <w:headerReference w:type="even" r:id="rId9"/>
      <w:headerReference w:type="default" r:id="rId10"/>
      <w:footerReference w:type="even" r:id="rId11"/>
      <w:footerReference w:type="default" r:id="rId12"/>
      <w:headerReference w:type="first" r:id="rId13"/>
      <w:footerReference w:type="first" r:id="rId14"/>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9E" w:rsidRDefault="003C379E" w:rsidP="009E4B94">
      <w:pPr>
        <w:spacing w:line="240" w:lineRule="auto"/>
      </w:pPr>
      <w:r>
        <w:separator/>
      </w:r>
    </w:p>
  </w:endnote>
  <w:endnote w:type="continuationSeparator" w:id="0">
    <w:p w:rsidR="003C379E" w:rsidRDefault="003C379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9E" w:rsidRDefault="003C379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9E" w:rsidRPr="00681D83" w:rsidRDefault="003C379E"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9E" w:rsidRPr="00094ABD" w:rsidRDefault="003C379E"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44496">
                            <w:rPr>
                              <w:rStyle w:val="Sidetal"/>
                              <w:noProof/>
                            </w:rPr>
                            <w:t>25</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44496">
                            <w:rPr>
                              <w:rStyle w:val="Sidetal"/>
                              <w:noProof/>
                            </w:rPr>
                            <w:t>25</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3C379E" w:rsidRPr="00094ABD" w:rsidRDefault="003C379E"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44496">
                      <w:rPr>
                        <w:rStyle w:val="Sidetal"/>
                        <w:noProof/>
                      </w:rPr>
                      <w:t>25</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44496">
                      <w:rPr>
                        <w:rStyle w:val="Sidetal"/>
                        <w:noProof/>
                      </w:rPr>
                      <w:t>25</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9E" w:rsidRPr="00094ABD" w:rsidRDefault="003C379E"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9E" w:rsidRDefault="003C379E" w:rsidP="009E4B94">
      <w:pPr>
        <w:spacing w:line="240" w:lineRule="auto"/>
      </w:pPr>
      <w:r>
        <w:separator/>
      </w:r>
    </w:p>
  </w:footnote>
  <w:footnote w:type="continuationSeparator" w:id="0">
    <w:p w:rsidR="003C379E" w:rsidRDefault="003C379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9E" w:rsidRDefault="003C37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9E" w:rsidRDefault="003C37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9E" w:rsidRDefault="003C379E"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proofState w:spelling="clean" w:grammar="clean"/>
  <w:attachedTemplate r:id="rId1"/>
  <w:defaultTabStop w:val="1304"/>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6F66"/>
    <w:rsid w:val="0000703F"/>
    <w:rsid w:val="000137A1"/>
    <w:rsid w:val="0001534C"/>
    <w:rsid w:val="00017063"/>
    <w:rsid w:val="00017586"/>
    <w:rsid w:val="0002656E"/>
    <w:rsid w:val="00030F87"/>
    <w:rsid w:val="000350C6"/>
    <w:rsid w:val="00035B7B"/>
    <w:rsid w:val="000413D6"/>
    <w:rsid w:val="0004204A"/>
    <w:rsid w:val="000423FF"/>
    <w:rsid w:val="0004323B"/>
    <w:rsid w:val="00045E50"/>
    <w:rsid w:val="00056A62"/>
    <w:rsid w:val="00060034"/>
    <w:rsid w:val="00062109"/>
    <w:rsid w:val="00064F6D"/>
    <w:rsid w:val="00066A26"/>
    <w:rsid w:val="000808A4"/>
    <w:rsid w:val="00081169"/>
    <w:rsid w:val="00087051"/>
    <w:rsid w:val="00092150"/>
    <w:rsid w:val="000941B6"/>
    <w:rsid w:val="00094ABD"/>
    <w:rsid w:val="000A42E7"/>
    <w:rsid w:val="000B2946"/>
    <w:rsid w:val="000C4289"/>
    <w:rsid w:val="000C6781"/>
    <w:rsid w:val="000D475A"/>
    <w:rsid w:val="000E3134"/>
    <w:rsid w:val="000E44A2"/>
    <w:rsid w:val="000F4D15"/>
    <w:rsid w:val="00106865"/>
    <w:rsid w:val="0011598E"/>
    <w:rsid w:val="00121584"/>
    <w:rsid w:val="00126D75"/>
    <w:rsid w:val="001278A8"/>
    <w:rsid w:val="00127940"/>
    <w:rsid w:val="00127B9F"/>
    <w:rsid w:val="00131815"/>
    <w:rsid w:val="00131F5D"/>
    <w:rsid w:val="0013244F"/>
    <w:rsid w:val="001508C1"/>
    <w:rsid w:val="00153F40"/>
    <w:rsid w:val="00154C95"/>
    <w:rsid w:val="00161AF0"/>
    <w:rsid w:val="00165D2F"/>
    <w:rsid w:val="00170C5E"/>
    <w:rsid w:val="00182651"/>
    <w:rsid w:val="00182FDC"/>
    <w:rsid w:val="001863A7"/>
    <w:rsid w:val="001A2678"/>
    <w:rsid w:val="001B0C6E"/>
    <w:rsid w:val="001B75AC"/>
    <w:rsid w:val="001D0093"/>
    <w:rsid w:val="001D174A"/>
    <w:rsid w:val="001D4BF4"/>
    <w:rsid w:val="001D6BD9"/>
    <w:rsid w:val="001D7419"/>
    <w:rsid w:val="001E018C"/>
    <w:rsid w:val="001E48D7"/>
    <w:rsid w:val="001E79D1"/>
    <w:rsid w:val="001F0E21"/>
    <w:rsid w:val="001F374B"/>
    <w:rsid w:val="001F460E"/>
    <w:rsid w:val="001F5686"/>
    <w:rsid w:val="00203735"/>
    <w:rsid w:val="00203DE6"/>
    <w:rsid w:val="00207BEC"/>
    <w:rsid w:val="00207D9F"/>
    <w:rsid w:val="0022582F"/>
    <w:rsid w:val="002301C3"/>
    <w:rsid w:val="00244D70"/>
    <w:rsid w:val="00260AF1"/>
    <w:rsid w:val="0026468A"/>
    <w:rsid w:val="00267514"/>
    <w:rsid w:val="002870F4"/>
    <w:rsid w:val="002908BC"/>
    <w:rsid w:val="002A5634"/>
    <w:rsid w:val="002B245F"/>
    <w:rsid w:val="002B3C73"/>
    <w:rsid w:val="002C0EB8"/>
    <w:rsid w:val="002C258E"/>
    <w:rsid w:val="002D16DE"/>
    <w:rsid w:val="002E233E"/>
    <w:rsid w:val="002E30A1"/>
    <w:rsid w:val="002E5802"/>
    <w:rsid w:val="002E6B15"/>
    <w:rsid w:val="002E74A4"/>
    <w:rsid w:val="002F35C0"/>
    <w:rsid w:val="00302887"/>
    <w:rsid w:val="00302F71"/>
    <w:rsid w:val="0030509E"/>
    <w:rsid w:val="003075A8"/>
    <w:rsid w:val="00313333"/>
    <w:rsid w:val="00341957"/>
    <w:rsid w:val="003449A1"/>
    <w:rsid w:val="00351C70"/>
    <w:rsid w:val="00357278"/>
    <w:rsid w:val="0037693A"/>
    <w:rsid w:val="00380E77"/>
    <w:rsid w:val="003A25C6"/>
    <w:rsid w:val="003A7413"/>
    <w:rsid w:val="003B35B0"/>
    <w:rsid w:val="003C379E"/>
    <w:rsid w:val="003C4F9F"/>
    <w:rsid w:val="003C60F1"/>
    <w:rsid w:val="003E39CF"/>
    <w:rsid w:val="003F52AC"/>
    <w:rsid w:val="00404BF7"/>
    <w:rsid w:val="00406FAB"/>
    <w:rsid w:val="0041096B"/>
    <w:rsid w:val="0041240A"/>
    <w:rsid w:val="004141C6"/>
    <w:rsid w:val="00415896"/>
    <w:rsid w:val="00416196"/>
    <w:rsid w:val="00424709"/>
    <w:rsid w:val="00425F90"/>
    <w:rsid w:val="004403EC"/>
    <w:rsid w:val="0044085C"/>
    <w:rsid w:val="00445DD2"/>
    <w:rsid w:val="00446687"/>
    <w:rsid w:val="00455537"/>
    <w:rsid w:val="00456FE8"/>
    <w:rsid w:val="00466136"/>
    <w:rsid w:val="00470810"/>
    <w:rsid w:val="00484640"/>
    <w:rsid w:val="00491D5C"/>
    <w:rsid w:val="004973D3"/>
    <w:rsid w:val="004977FE"/>
    <w:rsid w:val="004A36FB"/>
    <w:rsid w:val="004A5600"/>
    <w:rsid w:val="004B5150"/>
    <w:rsid w:val="004C01B2"/>
    <w:rsid w:val="004C339D"/>
    <w:rsid w:val="004C4D5F"/>
    <w:rsid w:val="004D0057"/>
    <w:rsid w:val="004D0A20"/>
    <w:rsid w:val="004D2BD7"/>
    <w:rsid w:val="004D46CB"/>
    <w:rsid w:val="004E5FA3"/>
    <w:rsid w:val="004F2D6F"/>
    <w:rsid w:val="00503680"/>
    <w:rsid w:val="00504882"/>
    <w:rsid w:val="00513F37"/>
    <w:rsid w:val="00522DA7"/>
    <w:rsid w:val="00525897"/>
    <w:rsid w:val="00530A82"/>
    <w:rsid w:val="00535188"/>
    <w:rsid w:val="0053662E"/>
    <w:rsid w:val="00546077"/>
    <w:rsid w:val="00552710"/>
    <w:rsid w:val="00560A15"/>
    <w:rsid w:val="00562DFF"/>
    <w:rsid w:val="00563829"/>
    <w:rsid w:val="0057371E"/>
    <w:rsid w:val="005A28D4"/>
    <w:rsid w:val="005B4028"/>
    <w:rsid w:val="005C389E"/>
    <w:rsid w:val="005C5F97"/>
    <w:rsid w:val="005E1892"/>
    <w:rsid w:val="005F1580"/>
    <w:rsid w:val="005F3493"/>
    <w:rsid w:val="005F3ED8"/>
    <w:rsid w:val="00600E3E"/>
    <w:rsid w:val="00600E4F"/>
    <w:rsid w:val="006028B2"/>
    <w:rsid w:val="00605C69"/>
    <w:rsid w:val="00622C50"/>
    <w:rsid w:val="00637CAF"/>
    <w:rsid w:val="00642CBC"/>
    <w:rsid w:val="00643973"/>
    <w:rsid w:val="00655B49"/>
    <w:rsid w:val="00670A87"/>
    <w:rsid w:val="0067143B"/>
    <w:rsid w:val="00672C4B"/>
    <w:rsid w:val="0067386E"/>
    <w:rsid w:val="00675550"/>
    <w:rsid w:val="006802DB"/>
    <w:rsid w:val="00681D83"/>
    <w:rsid w:val="00682E5D"/>
    <w:rsid w:val="006900C2"/>
    <w:rsid w:val="00694421"/>
    <w:rsid w:val="00695F70"/>
    <w:rsid w:val="006B0F61"/>
    <w:rsid w:val="006B2679"/>
    <w:rsid w:val="006B30A9"/>
    <w:rsid w:val="006C1E5A"/>
    <w:rsid w:val="006C6DCA"/>
    <w:rsid w:val="006E210A"/>
    <w:rsid w:val="006F6849"/>
    <w:rsid w:val="0070267E"/>
    <w:rsid w:val="00703B3F"/>
    <w:rsid w:val="00706E32"/>
    <w:rsid w:val="00707273"/>
    <w:rsid w:val="00711AED"/>
    <w:rsid w:val="00713F98"/>
    <w:rsid w:val="007154F3"/>
    <w:rsid w:val="0072037C"/>
    <w:rsid w:val="007233CF"/>
    <w:rsid w:val="007327A9"/>
    <w:rsid w:val="007546AF"/>
    <w:rsid w:val="00765934"/>
    <w:rsid w:val="00770410"/>
    <w:rsid w:val="0077324F"/>
    <w:rsid w:val="00773919"/>
    <w:rsid w:val="007750CC"/>
    <w:rsid w:val="00775409"/>
    <w:rsid w:val="00775EBA"/>
    <w:rsid w:val="00776807"/>
    <w:rsid w:val="00786FCF"/>
    <w:rsid w:val="0078774E"/>
    <w:rsid w:val="007A1B96"/>
    <w:rsid w:val="007A2D34"/>
    <w:rsid w:val="007D555D"/>
    <w:rsid w:val="007E0E19"/>
    <w:rsid w:val="007E2CF5"/>
    <w:rsid w:val="007E373C"/>
    <w:rsid w:val="007E7962"/>
    <w:rsid w:val="00801F34"/>
    <w:rsid w:val="00815F28"/>
    <w:rsid w:val="00824115"/>
    <w:rsid w:val="008345B6"/>
    <w:rsid w:val="0084102C"/>
    <w:rsid w:val="008531FB"/>
    <w:rsid w:val="00864D45"/>
    <w:rsid w:val="008662D3"/>
    <w:rsid w:val="0088162F"/>
    <w:rsid w:val="00892D08"/>
    <w:rsid w:val="00893791"/>
    <w:rsid w:val="008B5B59"/>
    <w:rsid w:val="008B797F"/>
    <w:rsid w:val="008D000A"/>
    <w:rsid w:val="008D0FA7"/>
    <w:rsid w:val="008D2509"/>
    <w:rsid w:val="008D46C6"/>
    <w:rsid w:val="008D5A02"/>
    <w:rsid w:val="008E2ECE"/>
    <w:rsid w:val="008E449C"/>
    <w:rsid w:val="008E4C26"/>
    <w:rsid w:val="008E5A6D"/>
    <w:rsid w:val="008F2444"/>
    <w:rsid w:val="008F32DF"/>
    <w:rsid w:val="008F4D20"/>
    <w:rsid w:val="008F5726"/>
    <w:rsid w:val="008F7349"/>
    <w:rsid w:val="00900BF3"/>
    <w:rsid w:val="00902C3D"/>
    <w:rsid w:val="0092171B"/>
    <w:rsid w:val="009266ED"/>
    <w:rsid w:val="00946D81"/>
    <w:rsid w:val="00947BA0"/>
    <w:rsid w:val="00951B25"/>
    <w:rsid w:val="009574DD"/>
    <w:rsid w:val="00967833"/>
    <w:rsid w:val="009678F1"/>
    <w:rsid w:val="00983B74"/>
    <w:rsid w:val="00986D8F"/>
    <w:rsid w:val="00990263"/>
    <w:rsid w:val="009A2571"/>
    <w:rsid w:val="009A4CCC"/>
    <w:rsid w:val="009C1470"/>
    <w:rsid w:val="009C3002"/>
    <w:rsid w:val="009C6002"/>
    <w:rsid w:val="009D200D"/>
    <w:rsid w:val="009D5CE7"/>
    <w:rsid w:val="009E2C26"/>
    <w:rsid w:val="009E4B94"/>
    <w:rsid w:val="009F18F2"/>
    <w:rsid w:val="009F53D4"/>
    <w:rsid w:val="00A01A75"/>
    <w:rsid w:val="00A1443D"/>
    <w:rsid w:val="00A21580"/>
    <w:rsid w:val="00A239DF"/>
    <w:rsid w:val="00A262CF"/>
    <w:rsid w:val="00A30808"/>
    <w:rsid w:val="00A855CE"/>
    <w:rsid w:val="00AA1734"/>
    <w:rsid w:val="00AA5A68"/>
    <w:rsid w:val="00AA6891"/>
    <w:rsid w:val="00AB149E"/>
    <w:rsid w:val="00AB221F"/>
    <w:rsid w:val="00AB29A0"/>
    <w:rsid w:val="00AB3463"/>
    <w:rsid w:val="00AB5B85"/>
    <w:rsid w:val="00AD043D"/>
    <w:rsid w:val="00AD0C8A"/>
    <w:rsid w:val="00AD3C0B"/>
    <w:rsid w:val="00AE1404"/>
    <w:rsid w:val="00AF1D02"/>
    <w:rsid w:val="00B00D92"/>
    <w:rsid w:val="00B02772"/>
    <w:rsid w:val="00B027E1"/>
    <w:rsid w:val="00B05EB1"/>
    <w:rsid w:val="00B062A6"/>
    <w:rsid w:val="00B1371A"/>
    <w:rsid w:val="00B25ABA"/>
    <w:rsid w:val="00B31CF7"/>
    <w:rsid w:val="00B32FCB"/>
    <w:rsid w:val="00B33200"/>
    <w:rsid w:val="00B3548C"/>
    <w:rsid w:val="00B421B6"/>
    <w:rsid w:val="00B430B4"/>
    <w:rsid w:val="00B44496"/>
    <w:rsid w:val="00B45B5F"/>
    <w:rsid w:val="00B5082D"/>
    <w:rsid w:val="00B5346F"/>
    <w:rsid w:val="00B53754"/>
    <w:rsid w:val="00B64C73"/>
    <w:rsid w:val="00B6504E"/>
    <w:rsid w:val="00B93951"/>
    <w:rsid w:val="00B94E08"/>
    <w:rsid w:val="00B9508F"/>
    <w:rsid w:val="00B96502"/>
    <w:rsid w:val="00B96937"/>
    <w:rsid w:val="00B96D2A"/>
    <w:rsid w:val="00BB12E6"/>
    <w:rsid w:val="00BB6CDB"/>
    <w:rsid w:val="00BC22A9"/>
    <w:rsid w:val="00BC24ED"/>
    <w:rsid w:val="00BC590D"/>
    <w:rsid w:val="00BE6ED7"/>
    <w:rsid w:val="00BF626A"/>
    <w:rsid w:val="00C03746"/>
    <w:rsid w:val="00C049FD"/>
    <w:rsid w:val="00C13E75"/>
    <w:rsid w:val="00C173F9"/>
    <w:rsid w:val="00C2169F"/>
    <w:rsid w:val="00C217E3"/>
    <w:rsid w:val="00C2782C"/>
    <w:rsid w:val="00C307EF"/>
    <w:rsid w:val="00C310A8"/>
    <w:rsid w:val="00C31791"/>
    <w:rsid w:val="00C41537"/>
    <w:rsid w:val="00C42256"/>
    <w:rsid w:val="00C425CB"/>
    <w:rsid w:val="00C439DF"/>
    <w:rsid w:val="00C45EEB"/>
    <w:rsid w:val="00C51167"/>
    <w:rsid w:val="00C605DF"/>
    <w:rsid w:val="00C62DBD"/>
    <w:rsid w:val="00C6358B"/>
    <w:rsid w:val="00C71C8E"/>
    <w:rsid w:val="00C81122"/>
    <w:rsid w:val="00C82401"/>
    <w:rsid w:val="00C86D85"/>
    <w:rsid w:val="00C91AD4"/>
    <w:rsid w:val="00C91DB7"/>
    <w:rsid w:val="00CA46A0"/>
    <w:rsid w:val="00CA61D4"/>
    <w:rsid w:val="00CB33DF"/>
    <w:rsid w:val="00CB3CA9"/>
    <w:rsid w:val="00CC0BE2"/>
    <w:rsid w:val="00CC342E"/>
    <w:rsid w:val="00CC6322"/>
    <w:rsid w:val="00CD5714"/>
    <w:rsid w:val="00CE262C"/>
    <w:rsid w:val="00CE5C53"/>
    <w:rsid w:val="00CF1244"/>
    <w:rsid w:val="00CF73BA"/>
    <w:rsid w:val="00D0360E"/>
    <w:rsid w:val="00D14423"/>
    <w:rsid w:val="00D243BB"/>
    <w:rsid w:val="00D25933"/>
    <w:rsid w:val="00D323AA"/>
    <w:rsid w:val="00D33925"/>
    <w:rsid w:val="00D3786F"/>
    <w:rsid w:val="00D42FEE"/>
    <w:rsid w:val="00D66542"/>
    <w:rsid w:val="00D66E2C"/>
    <w:rsid w:val="00D96141"/>
    <w:rsid w:val="00DA285B"/>
    <w:rsid w:val="00DB127A"/>
    <w:rsid w:val="00DB1ACB"/>
    <w:rsid w:val="00DB31AF"/>
    <w:rsid w:val="00DB6E2D"/>
    <w:rsid w:val="00DB743D"/>
    <w:rsid w:val="00DC2AB9"/>
    <w:rsid w:val="00DC38FB"/>
    <w:rsid w:val="00DD4A74"/>
    <w:rsid w:val="00DE2B28"/>
    <w:rsid w:val="00DE475C"/>
    <w:rsid w:val="00DE4F34"/>
    <w:rsid w:val="00DE55D3"/>
    <w:rsid w:val="00DF0E45"/>
    <w:rsid w:val="00DF207D"/>
    <w:rsid w:val="00DF6E27"/>
    <w:rsid w:val="00E05FF2"/>
    <w:rsid w:val="00E13E84"/>
    <w:rsid w:val="00E13F68"/>
    <w:rsid w:val="00E1438D"/>
    <w:rsid w:val="00E26493"/>
    <w:rsid w:val="00E311D4"/>
    <w:rsid w:val="00E357E7"/>
    <w:rsid w:val="00E370C3"/>
    <w:rsid w:val="00E434D1"/>
    <w:rsid w:val="00E47932"/>
    <w:rsid w:val="00E64A82"/>
    <w:rsid w:val="00E66240"/>
    <w:rsid w:val="00E75ED1"/>
    <w:rsid w:val="00E84986"/>
    <w:rsid w:val="00E97501"/>
    <w:rsid w:val="00EA7A1D"/>
    <w:rsid w:val="00EB603A"/>
    <w:rsid w:val="00ED7096"/>
    <w:rsid w:val="00ED7408"/>
    <w:rsid w:val="00EE36D4"/>
    <w:rsid w:val="00EE4C34"/>
    <w:rsid w:val="00EF0F9B"/>
    <w:rsid w:val="00EF55B3"/>
    <w:rsid w:val="00F002D7"/>
    <w:rsid w:val="00F00F89"/>
    <w:rsid w:val="00F02295"/>
    <w:rsid w:val="00F05EEC"/>
    <w:rsid w:val="00F140F9"/>
    <w:rsid w:val="00F23AA3"/>
    <w:rsid w:val="00F26552"/>
    <w:rsid w:val="00F2770A"/>
    <w:rsid w:val="00F32E5B"/>
    <w:rsid w:val="00F3325E"/>
    <w:rsid w:val="00F34E84"/>
    <w:rsid w:val="00F37F63"/>
    <w:rsid w:val="00F40708"/>
    <w:rsid w:val="00F45445"/>
    <w:rsid w:val="00F4760D"/>
    <w:rsid w:val="00F540A8"/>
    <w:rsid w:val="00F6027B"/>
    <w:rsid w:val="00F63834"/>
    <w:rsid w:val="00F70B7F"/>
    <w:rsid w:val="00F94967"/>
    <w:rsid w:val="00FA2D05"/>
    <w:rsid w:val="00FA6475"/>
    <w:rsid w:val="00FA651C"/>
    <w:rsid w:val="00FB1FE9"/>
    <w:rsid w:val="00FC4E3D"/>
    <w:rsid w:val="00FC511D"/>
    <w:rsid w:val="00FC6B3E"/>
    <w:rsid w:val="00FC7020"/>
    <w:rsid w:val="00FC7297"/>
    <w:rsid w:val="00FC7F59"/>
    <w:rsid w:val="00FE05FB"/>
    <w:rsid w:val="00FE0B00"/>
    <w:rsid w:val="00FE0B65"/>
    <w:rsid w:val="00FE2C9C"/>
    <w:rsid w:val="00FF1AA2"/>
    <w:rsid w:val="00FF69B8"/>
    <w:rsid w:val="00FF728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1B697B"/>
    <w:rsid w:val="001C729D"/>
    <w:rsid w:val="001F06EB"/>
    <w:rsid w:val="00236723"/>
    <w:rsid w:val="002B55D2"/>
    <w:rsid w:val="003531BE"/>
    <w:rsid w:val="00491717"/>
    <w:rsid w:val="00501C9A"/>
    <w:rsid w:val="006D2201"/>
    <w:rsid w:val="007752DF"/>
    <w:rsid w:val="00795A2C"/>
    <w:rsid w:val="007B5A3D"/>
    <w:rsid w:val="00AA7DDD"/>
    <w:rsid w:val="00C1191D"/>
    <w:rsid w:val="00DD05AB"/>
    <w:rsid w:val="00EB0B7B"/>
    <w:rsid w:val="00EC1A6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3DF2-DFD1-404D-86E1-B5C02817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Skatteministeriet Grundskabelon</Template>
  <TotalTime>0</TotalTime>
  <Pages>25</Pages>
  <Words>6613</Words>
  <Characters>38891</Characters>
  <Application>Microsoft Office Word</Application>
  <DocSecurity>0</DocSecurity>
  <Lines>925</Lines>
  <Paragraphs>233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2014-11-05T15:04:00Z</dcterms:created>
  <dcterms:modified xsi:type="dcterms:W3CDTF">2014-12-16T14:53:00Z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(DOK69323841)</vt:lpwstr>
  </property>
  <property fmtid="{D5CDD505-2E9C-101B-9397-08002B2CF9AE}" pid="4" name="path">
    <vt:lpwstr>C:\Users\w17728\AppData\Local\Temp\Scanjour\Captia\SJ20141216145228101 [DOK69323841].DOCX</vt:lpwstr>
  </property>
  <property fmtid="{D5CDD505-2E9C-101B-9397-08002B2CF9AE}" pid="5" name="command">
    <vt:lpwstr>&amp;x_infomerge=1</vt:lpwstr>
  </property>
</Properties>
</file>